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7A9D1" w14:textId="26414124" w:rsidR="00862459" w:rsidRPr="008A5233" w:rsidRDefault="008A5233" w:rsidP="00B427C5">
      <w:pPr>
        <w:jc w:val="both"/>
        <w:rPr>
          <w:rFonts w:ascii="Times New Roman" w:hAnsi="Times New Roman" w:cs="Times New Roman"/>
        </w:rPr>
      </w:pPr>
      <w:r w:rsidRPr="008A5233">
        <w:rPr>
          <w:rFonts w:ascii="Times New Roman" w:hAnsi="Times New Roman" w:cs="Times New Roman"/>
        </w:rPr>
        <w:t xml:space="preserve">Madame la </w:t>
      </w:r>
      <w:r w:rsidR="00D339ED" w:rsidRPr="008A5233">
        <w:rPr>
          <w:rFonts w:ascii="Times New Roman" w:hAnsi="Times New Roman" w:cs="Times New Roman"/>
        </w:rPr>
        <w:t>Présidente</w:t>
      </w:r>
      <w:r w:rsidRPr="008A5233">
        <w:rPr>
          <w:rFonts w:ascii="Times New Roman" w:hAnsi="Times New Roman" w:cs="Times New Roman"/>
        </w:rPr>
        <w:t xml:space="preserve"> de l’ASP, Votre Excellences, che</w:t>
      </w:r>
      <w:r>
        <w:rPr>
          <w:rFonts w:ascii="Times New Roman" w:hAnsi="Times New Roman" w:cs="Times New Roman"/>
        </w:rPr>
        <w:t xml:space="preserve">rs collègues. </w:t>
      </w:r>
    </w:p>
    <w:p w14:paraId="2EC1B9D9" w14:textId="77777777" w:rsidR="008F5D39" w:rsidRPr="008A5233" w:rsidRDefault="008F5D39" w:rsidP="00B427C5">
      <w:pPr>
        <w:jc w:val="both"/>
        <w:rPr>
          <w:rFonts w:ascii="Times New Roman" w:hAnsi="Times New Roman" w:cs="Times New Roman"/>
        </w:rPr>
      </w:pPr>
    </w:p>
    <w:p w14:paraId="76EB8534" w14:textId="2177A02B" w:rsidR="00F62BCD" w:rsidRPr="00B427C5" w:rsidRDefault="008F5D39" w:rsidP="00B427C5">
      <w:pPr>
        <w:jc w:val="both"/>
        <w:rPr>
          <w:rFonts w:ascii="Times New Roman" w:hAnsi="Times New Roman" w:cs="Times New Roman"/>
        </w:rPr>
      </w:pPr>
      <w:r w:rsidRPr="00B427C5">
        <w:rPr>
          <w:rFonts w:ascii="Times New Roman" w:hAnsi="Times New Roman" w:cs="Times New Roman"/>
        </w:rPr>
        <w:t xml:space="preserve">Nous sommes véritablement reconnaissant de l’invitation à participer à cette plénière ce matin, </w:t>
      </w:r>
      <w:r w:rsidR="00272B4A" w:rsidRPr="00B427C5">
        <w:rPr>
          <w:rFonts w:ascii="Times New Roman" w:hAnsi="Times New Roman" w:cs="Times New Roman"/>
        </w:rPr>
        <w:t xml:space="preserve">et de </w:t>
      </w:r>
      <w:r w:rsidRPr="00B427C5">
        <w:rPr>
          <w:rFonts w:ascii="Times New Roman" w:hAnsi="Times New Roman" w:cs="Times New Roman"/>
        </w:rPr>
        <w:t>l’opportunité de pouvoir soulever les enjeux qui touchent</w:t>
      </w:r>
      <w:r w:rsidR="00272B4A" w:rsidRPr="00B427C5">
        <w:rPr>
          <w:rFonts w:ascii="Times New Roman" w:hAnsi="Times New Roman" w:cs="Times New Roman"/>
        </w:rPr>
        <w:t xml:space="preserve"> tout autant</w:t>
      </w:r>
      <w:r w:rsidRPr="00B427C5">
        <w:rPr>
          <w:rFonts w:ascii="Times New Roman" w:hAnsi="Times New Roman" w:cs="Times New Roman"/>
        </w:rPr>
        <w:t xml:space="preserve"> la Défen</w:t>
      </w:r>
      <w:r w:rsidR="00C572A0">
        <w:rPr>
          <w:rFonts w:ascii="Times New Roman" w:hAnsi="Times New Roman" w:cs="Times New Roman"/>
        </w:rPr>
        <w:t>s</w:t>
      </w:r>
      <w:r w:rsidRPr="00B427C5">
        <w:rPr>
          <w:rFonts w:ascii="Times New Roman" w:hAnsi="Times New Roman" w:cs="Times New Roman"/>
        </w:rPr>
        <w:t>e</w:t>
      </w:r>
      <w:r w:rsidR="00272B4A" w:rsidRPr="00B427C5">
        <w:rPr>
          <w:rFonts w:ascii="Times New Roman" w:hAnsi="Times New Roman" w:cs="Times New Roman"/>
        </w:rPr>
        <w:t>.</w:t>
      </w:r>
    </w:p>
    <w:p w14:paraId="665D02D0" w14:textId="77777777" w:rsidR="00272B4A" w:rsidRPr="00B427C5" w:rsidRDefault="00272B4A" w:rsidP="00B427C5">
      <w:pPr>
        <w:jc w:val="both"/>
        <w:rPr>
          <w:rFonts w:ascii="Times New Roman" w:hAnsi="Times New Roman" w:cs="Times New Roman"/>
        </w:rPr>
      </w:pPr>
    </w:p>
    <w:p w14:paraId="0F326C39" w14:textId="69CD9CCC" w:rsidR="00272B4A" w:rsidRPr="00B427C5" w:rsidRDefault="00272B4A" w:rsidP="00B427C5">
      <w:pPr>
        <w:jc w:val="both"/>
        <w:rPr>
          <w:rFonts w:ascii="Times New Roman" w:hAnsi="Times New Roman" w:cs="Times New Roman"/>
        </w:rPr>
      </w:pPr>
      <w:r w:rsidRPr="00B427C5">
        <w:rPr>
          <w:rFonts w:ascii="Times New Roman" w:hAnsi="Times New Roman" w:cs="Times New Roman"/>
        </w:rPr>
        <w:t>Je serais brève dans ma remarque, et je remercie mes collègues de leur interventions fort pertinentes.</w:t>
      </w:r>
    </w:p>
    <w:p w14:paraId="5C934A40" w14:textId="77777777" w:rsidR="00272B4A" w:rsidRPr="00B427C5" w:rsidRDefault="00272B4A" w:rsidP="00B427C5">
      <w:pPr>
        <w:jc w:val="both"/>
        <w:rPr>
          <w:rFonts w:ascii="Times New Roman" w:hAnsi="Times New Roman" w:cs="Times New Roman"/>
        </w:rPr>
      </w:pPr>
    </w:p>
    <w:p w14:paraId="6BB17A9A" w14:textId="20396FE1" w:rsidR="00272B4A" w:rsidRPr="00B427C5" w:rsidRDefault="00272B4A" w:rsidP="00B427C5">
      <w:pPr>
        <w:jc w:val="both"/>
        <w:rPr>
          <w:rFonts w:ascii="Times New Roman" w:hAnsi="Times New Roman" w:cs="Times New Roman"/>
        </w:rPr>
      </w:pPr>
      <w:r w:rsidRPr="00B427C5">
        <w:rPr>
          <w:rFonts w:ascii="Times New Roman" w:hAnsi="Times New Roman" w:cs="Times New Roman"/>
        </w:rPr>
        <w:t>L’histoire que vous a raconté ma collègue pourrait tout autant être un scenario qui se déroule dans un bureau de la tour E, la tour de la D</w:t>
      </w:r>
      <w:r w:rsidR="007B1AD4">
        <w:rPr>
          <w:rFonts w:ascii="Times New Roman" w:hAnsi="Times New Roman" w:cs="Times New Roman"/>
        </w:rPr>
        <w:t>é</w:t>
      </w:r>
      <w:r w:rsidRPr="00B427C5">
        <w:rPr>
          <w:rFonts w:ascii="Times New Roman" w:hAnsi="Times New Roman" w:cs="Times New Roman"/>
        </w:rPr>
        <w:t>fen</w:t>
      </w:r>
      <w:r w:rsidR="007B1AD4">
        <w:rPr>
          <w:rFonts w:ascii="Times New Roman" w:hAnsi="Times New Roman" w:cs="Times New Roman"/>
        </w:rPr>
        <w:t>se</w:t>
      </w:r>
      <w:r w:rsidRPr="00B427C5">
        <w:rPr>
          <w:rFonts w:ascii="Times New Roman" w:hAnsi="Times New Roman" w:cs="Times New Roman"/>
        </w:rPr>
        <w:t xml:space="preserve"> </w:t>
      </w:r>
      <w:r w:rsidR="00C572A0">
        <w:rPr>
          <w:rFonts w:ascii="Times New Roman" w:hAnsi="Times New Roman" w:cs="Times New Roman"/>
        </w:rPr>
        <w:t>à</w:t>
      </w:r>
      <w:r w:rsidRPr="00B427C5">
        <w:rPr>
          <w:rFonts w:ascii="Times New Roman" w:hAnsi="Times New Roman" w:cs="Times New Roman"/>
        </w:rPr>
        <w:t xml:space="preserve"> la Cour. </w:t>
      </w:r>
    </w:p>
    <w:p w14:paraId="6ADA799B" w14:textId="77777777" w:rsidR="00272B4A" w:rsidRPr="00B427C5" w:rsidRDefault="00272B4A" w:rsidP="00B427C5">
      <w:pPr>
        <w:jc w:val="both"/>
        <w:rPr>
          <w:rFonts w:ascii="Times New Roman" w:hAnsi="Times New Roman" w:cs="Times New Roman"/>
        </w:rPr>
      </w:pPr>
    </w:p>
    <w:p w14:paraId="5E777518" w14:textId="3D601CDB" w:rsidR="00261920" w:rsidRDefault="00272B4A" w:rsidP="00B427C5">
      <w:pPr>
        <w:jc w:val="both"/>
        <w:rPr>
          <w:rFonts w:ascii="Times New Roman" w:hAnsi="Times New Roman" w:cs="Times New Roman"/>
        </w:rPr>
      </w:pPr>
      <w:r w:rsidRPr="00B427C5">
        <w:rPr>
          <w:rFonts w:ascii="Times New Roman" w:hAnsi="Times New Roman" w:cs="Times New Roman"/>
        </w:rPr>
        <w:t xml:space="preserve">Les témoins </w:t>
      </w:r>
      <w:r w:rsidR="00E32600">
        <w:rPr>
          <w:rFonts w:ascii="Times New Roman" w:hAnsi="Times New Roman" w:cs="Times New Roman"/>
        </w:rPr>
        <w:t>« </w:t>
      </w:r>
      <w:proofErr w:type="spellStart"/>
      <w:r w:rsidRPr="00B427C5">
        <w:rPr>
          <w:rFonts w:ascii="Times New Roman" w:hAnsi="Times New Roman" w:cs="Times New Roman"/>
        </w:rPr>
        <w:t>insiders</w:t>
      </w:r>
      <w:proofErr w:type="spellEnd"/>
      <w:r w:rsidR="00E32600">
        <w:rPr>
          <w:rFonts w:ascii="Times New Roman" w:hAnsi="Times New Roman" w:cs="Times New Roman"/>
        </w:rPr>
        <w:t> »</w:t>
      </w:r>
      <w:r w:rsidRPr="00B427C5">
        <w:rPr>
          <w:rFonts w:ascii="Times New Roman" w:hAnsi="Times New Roman" w:cs="Times New Roman"/>
        </w:rPr>
        <w:t xml:space="preserve"> sont très important</w:t>
      </w:r>
      <w:r w:rsidR="00BF3077">
        <w:rPr>
          <w:rFonts w:ascii="Times New Roman" w:hAnsi="Times New Roman" w:cs="Times New Roman"/>
        </w:rPr>
        <w:t>s</w:t>
      </w:r>
      <w:r w:rsidRPr="00B427C5">
        <w:rPr>
          <w:rFonts w:ascii="Times New Roman" w:hAnsi="Times New Roman" w:cs="Times New Roman"/>
        </w:rPr>
        <w:t xml:space="preserve"> pour le bureau du Procureur, mais ils le sont tout autant pour la D</w:t>
      </w:r>
      <w:r w:rsidR="007B1AD4">
        <w:rPr>
          <w:rFonts w:ascii="Times New Roman" w:hAnsi="Times New Roman" w:cs="Times New Roman"/>
        </w:rPr>
        <w:t>é</w:t>
      </w:r>
      <w:r w:rsidRPr="00B427C5">
        <w:rPr>
          <w:rFonts w:ascii="Times New Roman" w:hAnsi="Times New Roman" w:cs="Times New Roman"/>
        </w:rPr>
        <w:t>fen</w:t>
      </w:r>
      <w:r w:rsidR="007B1AD4">
        <w:rPr>
          <w:rFonts w:ascii="Times New Roman" w:hAnsi="Times New Roman" w:cs="Times New Roman"/>
        </w:rPr>
        <w:t>se</w:t>
      </w:r>
      <w:r w:rsidRPr="00B427C5">
        <w:rPr>
          <w:rFonts w:ascii="Times New Roman" w:hAnsi="Times New Roman" w:cs="Times New Roman"/>
        </w:rPr>
        <w:t xml:space="preserve">. </w:t>
      </w:r>
    </w:p>
    <w:p w14:paraId="0B782C80" w14:textId="77777777" w:rsidR="00261920" w:rsidRDefault="00261920" w:rsidP="00B427C5">
      <w:pPr>
        <w:jc w:val="both"/>
        <w:rPr>
          <w:rFonts w:ascii="Times New Roman" w:hAnsi="Times New Roman" w:cs="Times New Roman"/>
        </w:rPr>
      </w:pPr>
    </w:p>
    <w:p w14:paraId="11EA6792" w14:textId="66261ED8" w:rsidR="00261920" w:rsidRDefault="00261920" w:rsidP="00261920">
      <w:pPr>
        <w:jc w:val="both"/>
        <w:rPr>
          <w:rFonts w:ascii="Times New Roman" w:hAnsi="Times New Roman" w:cs="Times New Roman"/>
        </w:rPr>
      </w:pPr>
      <w:r w:rsidRPr="00261920">
        <w:rPr>
          <w:rFonts w:ascii="Times New Roman" w:hAnsi="Times New Roman" w:cs="Times New Roman"/>
        </w:rPr>
        <w:t xml:space="preserve">Bien que la </w:t>
      </w:r>
      <w:r w:rsidR="00BF3077">
        <w:rPr>
          <w:rFonts w:ascii="Times New Roman" w:hAnsi="Times New Roman" w:cs="Times New Roman"/>
        </w:rPr>
        <w:t xml:space="preserve">charge de la preuve ne repose pas sur la </w:t>
      </w:r>
      <w:r w:rsidRPr="00261920">
        <w:rPr>
          <w:rFonts w:ascii="Times New Roman" w:hAnsi="Times New Roman" w:cs="Times New Roman"/>
        </w:rPr>
        <w:t xml:space="preserve">Défense, </w:t>
      </w:r>
      <w:r w:rsidR="009A63D2">
        <w:rPr>
          <w:rFonts w:ascii="Times New Roman" w:hAnsi="Times New Roman" w:cs="Times New Roman"/>
        </w:rPr>
        <w:t xml:space="preserve">notre rôle </w:t>
      </w:r>
      <w:r w:rsidR="00BF3077">
        <w:rPr>
          <w:rFonts w:ascii="Times New Roman" w:hAnsi="Times New Roman" w:cs="Times New Roman"/>
        </w:rPr>
        <w:t>est de tester la fiabilité des preuves soumises par le Procureur</w:t>
      </w:r>
      <w:r w:rsidR="00287D17">
        <w:rPr>
          <w:rFonts w:ascii="Times New Roman" w:hAnsi="Times New Roman" w:cs="Times New Roman"/>
        </w:rPr>
        <w:t xml:space="preserve">. Cela est nécessaire et fondamental pour que justice soit rendue de manière équitable. Un des moyens disponibles aux équipes de défense pour tester </w:t>
      </w:r>
      <w:r w:rsidR="00267696">
        <w:rPr>
          <w:rFonts w:ascii="Times New Roman" w:hAnsi="Times New Roman" w:cs="Times New Roman"/>
        </w:rPr>
        <w:t>cette preuve</w:t>
      </w:r>
      <w:r w:rsidR="00287D17">
        <w:rPr>
          <w:rFonts w:ascii="Times New Roman" w:hAnsi="Times New Roman" w:cs="Times New Roman"/>
        </w:rPr>
        <w:t xml:space="preserve"> est de </w:t>
      </w:r>
      <w:r w:rsidRPr="00261920">
        <w:rPr>
          <w:rFonts w:ascii="Times New Roman" w:hAnsi="Times New Roman" w:cs="Times New Roman"/>
        </w:rPr>
        <w:t xml:space="preserve"> sollicite</w:t>
      </w:r>
      <w:r w:rsidR="00287D17">
        <w:rPr>
          <w:rFonts w:ascii="Times New Roman" w:hAnsi="Times New Roman" w:cs="Times New Roman"/>
        </w:rPr>
        <w:t>r</w:t>
      </w:r>
      <w:r w:rsidRPr="00261920">
        <w:rPr>
          <w:rFonts w:ascii="Times New Roman" w:hAnsi="Times New Roman" w:cs="Times New Roman"/>
        </w:rPr>
        <w:t xml:space="preserve"> le témoignage de divers types de témoins.</w:t>
      </w:r>
      <w:r w:rsidR="00287D17">
        <w:rPr>
          <w:rFonts w:ascii="Times New Roman" w:hAnsi="Times New Roman" w:cs="Times New Roman"/>
        </w:rPr>
        <w:t xml:space="preserve"> </w:t>
      </w:r>
      <w:r w:rsidR="00750E3A">
        <w:rPr>
          <w:rFonts w:ascii="Times New Roman" w:hAnsi="Times New Roman" w:cs="Times New Roman"/>
        </w:rPr>
        <w:t xml:space="preserve">Ils peuvent être </w:t>
      </w:r>
      <w:r w:rsidR="00750E3A" w:rsidRPr="00261920">
        <w:rPr>
          <w:rFonts w:ascii="Times New Roman" w:hAnsi="Times New Roman" w:cs="Times New Roman"/>
        </w:rPr>
        <w:t>des opposants politiques, des membres du gouvernement,</w:t>
      </w:r>
      <w:r w:rsidR="00267696">
        <w:rPr>
          <w:rFonts w:ascii="Times New Roman" w:hAnsi="Times New Roman" w:cs="Times New Roman"/>
        </w:rPr>
        <w:t xml:space="preserve"> </w:t>
      </w:r>
      <w:r w:rsidR="00750E3A" w:rsidRPr="00261920">
        <w:rPr>
          <w:rFonts w:ascii="Times New Roman" w:hAnsi="Times New Roman" w:cs="Times New Roman"/>
        </w:rPr>
        <w:t xml:space="preserve">des forces armées, ou encore des citoyens </w:t>
      </w:r>
      <w:r w:rsidR="00267696">
        <w:rPr>
          <w:rFonts w:ascii="Times New Roman" w:hAnsi="Times New Roman" w:cs="Times New Roman"/>
        </w:rPr>
        <w:t>ayant</w:t>
      </w:r>
      <w:r w:rsidR="00750E3A" w:rsidRPr="00261920">
        <w:rPr>
          <w:rFonts w:ascii="Times New Roman" w:hAnsi="Times New Roman" w:cs="Times New Roman"/>
        </w:rPr>
        <w:t xml:space="preserve"> des rôles significatifs au sein de leurs communautés.</w:t>
      </w:r>
    </w:p>
    <w:p w14:paraId="5C7FD4EF" w14:textId="77777777" w:rsidR="00261920" w:rsidRPr="00261920" w:rsidRDefault="00261920" w:rsidP="00261920">
      <w:pPr>
        <w:jc w:val="both"/>
        <w:rPr>
          <w:rFonts w:ascii="Times New Roman" w:hAnsi="Times New Roman" w:cs="Times New Roman"/>
        </w:rPr>
      </w:pPr>
    </w:p>
    <w:p w14:paraId="68940B80" w14:textId="21D2CA0D" w:rsidR="00261920" w:rsidRDefault="006F6E63" w:rsidP="00261920">
      <w:pPr>
        <w:jc w:val="both"/>
        <w:rPr>
          <w:rFonts w:ascii="Times New Roman" w:hAnsi="Times New Roman" w:cs="Times New Roman"/>
        </w:rPr>
      </w:pPr>
      <w:r>
        <w:rPr>
          <w:rFonts w:ascii="Times New Roman" w:hAnsi="Times New Roman" w:cs="Times New Roman"/>
        </w:rPr>
        <w:t>S’il y a un message sur lequel je dois insister ce matin, c’est celui-</w:t>
      </w:r>
      <w:r w:rsidR="000D7963">
        <w:rPr>
          <w:rFonts w:ascii="Times New Roman" w:hAnsi="Times New Roman" w:cs="Times New Roman"/>
        </w:rPr>
        <w:t xml:space="preserve">ci : </w:t>
      </w:r>
      <w:r>
        <w:rPr>
          <w:rFonts w:ascii="Times New Roman" w:hAnsi="Times New Roman" w:cs="Times New Roman"/>
        </w:rPr>
        <w:t>L</w:t>
      </w:r>
      <w:r w:rsidR="00261920" w:rsidRPr="00261920">
        <w:rPr>
          <w:rFonts w:ascii="Times New Roman" w:hAnsi="Times New Roman" w:cs="Times New Roman"/>
        </w:rPr>
        <w:t>es témoins de la Défense font face aux mêmes risques et défis que ceux du Bureau du Procureur.</w:t>
      </w:r>
      <w:r>
        <w:rPr>
          <w:rFonts w:ascii="Times New Roman" w:hAnsi="Times New Roman" w:cs="Times New Roman"/>
        </w:rPr>
        <w:t xml:space="preserve"> </w:t>
      </w:r>
      <w:r w:rsidR="007B1AD4">
        <w:rPr>
          <w:rFonts w:ascii="Times New Roman" w:hAnsi="Times New Roman" w:cs="Times New Roman"/>
        </w:rPr>
        <w:t xml:space="preserve">Tout en </w:t>
      </w:r>
      <w:r w:rsidR="00750E3A">
        <w:rPr>
          <w:rFonts w:ascii="Times New Roman" w:hAnsi="Times New Roman" w:cs="Times New Roman"/>
        </w:rPr>
        <w:t>subissant</w:t>
      </w:r>
      <w:r w:rsidR="007B1AD4">
        <w:rPr>
          <w:rFonts w:ascii="Times New Roman" w:hAnsi="Times New Roman" w:cs="Times New Roman"/>
        </w:rPr>
        <w:t xml:space="preserve"> souvent </w:t>
      </w:r>
      <w:r w:rsidR="000D7963">
        <w:rPr>
          <w:rFonts w:ascii="Times New Roman" w:hAnsi="Times New Roman" w:cs="Times New Roman"/>
        </w:rPr>
        <w:t xml:space="preserve">aussi </w:t>
      </w:r>
      <w:r w:rsidR="007B1AD4">
        <w:rPr>
          <w:rFonts w:ascii="Times New Roman" w:hAnsi="Times New Roman" w:cs="Times New Roman"/>
        </w:rPr>
        <w:t xml:space="preserve">un préjugé malheureusement négatif lié à </w:t>
      </w:r>
      <w:r w:rsidR="00C572A0">
        <w:rPr>
          <w:rFonts w:ascii="Times New Roman" w:hAnsi="Times New Roman" w:cs="Times New Roman"/>
        </w:rPr>
        <w:t xml:space="preserve">une certaine </w:t>
      </w:r>
      <w:r w:rsidR="007B1AD4">
        <w:rPr>
          <w:rFonts w:ascii="Times New Roman" w:hAnsi="Times New Roman" w:cs="Times New Roman"/>
        </w:rPr>
        <w:t xml:space="preserve">perception </w:t>
      </w:r>
      <w:r w:rsidR="000D7963">
        <w:rPr>
          <w:rFonts w:ascii="Times New Roman" w:hAnsi="Times New Roman" w:cs="Times New Roman"/>
        </w:rPr>
        <w:t xml:space="preserve">lié à </w:t>
      </w:r>
      <w:r w:rsidR="007B1AD4">
        <w:rPr>
          <w:rFonts w:ascii="Times New Roman" w:hAnsi="Times New Roman" w:cs="Times New Roman"/>
        </w:rPr>
        <w:t>la défense. Cependant, à risques égales, les témoins doivent bénéficier de protections égales, indépendamment de la partie qui les sollicite.</w:t>
      </w:r>
    </w:p>
    <w:p w14:paraId="168E8F94" w14:textId="77777777" w:rsidR="00261920" w:rsidRPr="00261920" w:rsidRDefault="00261920" w:rsidP="00261920">
      <w:pPr>
        <w:jc w:val="both"/>
        <w:rPr>
          <w:rFonts w:ascii="Times New Roman" w:hAnsi="Times New Roman" w:cs="Times New Roman"/>
        </w:rPr>
      </w:pPr>
    </w:p>
    <w:p w14:paraId="2DD8A4FF" w14:textId="746F2844" w:rsidR="00261920" w:rsidRDefault="00261920" w:rsidP="00261920">
      <w:pPr>
        <w:jc w:val="both"/>
        <w:rPr>
          <w:rFonts w:ascii="Times New Roman" w:hAnsi="Times New Roman" w:cs="Times New Roman"/>
        </w:rPr>
      </w:pPr>
      <w:r w:rsidRPr="00261920">
        <w:rPr>
          <w:rFonts w:ascii="Times New Roman" w:hAnsi="Times New Roman" w:cs="Times New Roman"/>
        </w:rPr>
        <w:t xml:space="preserve">Le fait qu’une personne ne puisse bénéficier de la même protection qu’un témoin du procureur pourrait dissuader certains de venir témoigner </w:t>
      </w:r>
      <w:r w:rsidR="006F6E63">
        <w:rPr>
          <w:rFonts w:ascii="Times New Roman" w:hAnsi="Times New Roman" w:cs="Times New Roman"/>
        </w:rPr>
        <w:t xml:space="preserve">pour </w:t>
      </w:r>
      <w:r w:rsidRPr="00261920">
        <w:rPr>
          <w:rFonts w:ascii="Times New Roman" w:hAnsi="Times New Roman" w:cs="Times New Roman"/>
        </w:rPr>
        <w:t>la Défense</w:t>
      </w:r>
      <w:r w:rsidR="00750E3A">
        <w:rPr>
          <w:rFonts w:ascii="Times New Roman" w:hAnsi="Times New Roman" w:cs="Times New Roman"/>
        </w:rPr>
        <w:t>, et parfois</w:t>
      </w:r>
      <w:r w:rsidR="000D7963">
        <w:rPr>
          <w:rFonts w:ascii="Times New Roman" w:hAnsi="Times New Roman" w:cs="Times New Roman"/>
        </w:rPr>
        <w:t xml:space="preserve"> même</w:t>
      </w:r>
      <w:r w:rsidR="00750E3A">
        <w:rPr>
          <w:rFonts w:ascii="Times New Roman" w:hAnsi="Times New Roman" w:cs="Times New Roman"/>
        </w:rPr>
        <w:t xml:space="preserve"> des témoins cruciaux</w:t>
      </w:r>
      <w:r w:rsidR="008A5233">
        <w:rPr>
          <w:rFonts w:ascii="Times New Roman" w:hAnsi="Times New Roman" w:cs="Times New Roman"/>
        </w:rPr>
        <w:t xml:space="preserve"> dans l’obtention de la vérité</w:t>
      </w:r>
      <w:r w:rsidRPr="00261920">
        <w:rPr>
          <w:rFonts w:ascii="Times New Roman" w:hAnsi="Times New Roman" w:cs="Times New Roman"/>
        </w:rPr>
        <w:t xml:space="preserve">. Cette situation </w:t>
      </w:r>
      <w:r w:rsidR="00750E3A">
        <w:rPr>
          <w:rFonts w:ascii="Times New Roman" w:hAnsi="Times New Roman" w:cs="Times New Roman"/>
        </w:rPr>
        <w:t xml:space="preserve">est évidemment </w:t>
      </w:r>
      <w:r w:rsidR="00287D17">
        <w:rPr>
          <w:rFonts w:ascii="Times New Roman" w:hAnsi="Times New Roman" w:cs="Times New Roman"/>
        </w:rPr>
        <w:t>au détriment d’une procédure équitable.</w:t>
      </w:r>
    </w:p>
    <w:p w14:paraId="503166D4" w14:textId="77777777" w:rsidR="00261920" w:rsidRPr="00261920" w:rsidRDefault="00261920" w:rsidP="00261920">
      <w:pPr>
        <w:jc w:val="both"/>
        <w:rPr>
          <w:rFonts w:ascii="Times New Roman" w:hAnsi="Times New Roman" w:cs="Times New Roman"/>
        </w:rPr>
      </w:pPr>
    </w:p>
    <w:p w14:paraId="6B3E8621" w14:textId="50C2079D" w:rsidR="00261920" w:rsidRDefault="00261920" w:rsidP="00261920">
      <w:pPr>
        <w:jc w:val="both"/>
        <w:rPr>
          <w:rFonts w:ascii="Times New Roman" w:hAnsi="Times New Roman" w:cs="Times New Roman"/>
        </w:rPr>
      </w:pPr>
      <w:r w:rsidRPr="00261920">
        <w:rPr>
          <w:rFonts w:ascii="Times New Roman" w:hAnsi="Times New Roman" w:cs="Times New Roman"/>
        </w:rPr>
        <w:t>Il est essentiel pour l'équité du système de justice pénale internationale</w:t>
      </w:r>
      <w:r w:rsidR="00803E0A">
        <w:rPr>
          <w:rFonts w:ascii="Times New Roman" w:hAnsi="Times New Roman" w:cs="Times New Roman"/>
        </w:rPr>
        <w:t>, ainsi que pour le respect du principe d</w:t>
      </w:r>
      <w:r w:rsidR="000D7963">
        <w:rPr>
          <w:rFonts w:ascii="Times New Roman" w:hAnsi="Times New Roman" w:cs="Times New Roman"/>
        </w:rPr>
        <w:t>e l</w:t>
      </w:r>
      <w:r w:rsidR="00803E0A">
        <w:rPr>
          <w:rFonts w:ascii="Times New Roman" w:hAnsi="Times New Roman" w:cs="Times New Roman"/>
        </w:rPr>
        <w:t>’égalité des armes</w:t>
      </w:r>
      <w:r w:rsidRPr="00261920">
        <w:rPr>
          <w:rFonts w:ascii="Times New Roman" w:hAnsi="Times New Roman" w:cs="Times New Roman"/>
        </w:rPr>
        <w:t xml:space="preserve"> que la Défense puisse disposer des mêmes garanties pour la protection de ses témoins que celles accordées aux témoins du procureur</w:t>
      </w:r>
      <w:r w:rsidR="006F6E63">
        <w:rPr>
          <w:rFonts w:ascii="Times New Roman" w:hAnsi="Times New Roman" w:cs="Times New Roman"/>
        </w:rPr>
        <w:t>, et cela inclus la possibilité des</w:t>
      </w:r>
      <w:r w:rsidR="000D7963">
        <w:rPr>
          <w:rFonts w:ascii="Times New Roman" w:hAnsi="Times New Roman" w:cs="Times New Roman"/>
        </w:rPr>
        <w:t xml:space="preserve"> les</w:t>
      </w:r>
      <w:r w:rsidR="006F6E63">
        <w:rPr>
          <w:rFonts w:ascii="Times New Roman" w:hAnsi="Times New Roman" w:cs="Times New Roman"/>
        </w:rPr>
        <w:t xml:space="preserve"> relocaliser dans les cas qui le requiert</w:t>
      </w:r>
      <w:r w:rsidR="000D7963">
        <w:rPr>
          <w:rFonts w:ascii="Times New Roman" w:hAnsi="Times New Roman" w:cs="Times New Roman"/>
        </w:rPr>
        <w:t>.</w:t>
      </w:r>
    </w:p>
    <w:p w14:paraId="74F8B985" w14:textId="77777777" w:rsidR="00F71867" w:rsidRPr="00B427C5" w:rsidRDefault="00F71867" w:rsidP="00B427C5">
      <w:pPr>
        <w:jc w:val="both"/>
        <w:rPr>
          <w:rFonts w:ascii="Times New Roman" w:hAnsi="Times New Roman" w:cs="Times New Roman"/>
        </w:rPr>
      </w:pPr>
    </w:p>
    <w:p w14:paraId="6D3A2847" w14:textId="4517387D" w:rsidR="00261920" w:rsidRDefault="00261920" w:rsidP="00261920">
      <w:pPr>
        <w:jc w:val="both"/>
        <w:rPr>
          <w:rFonts w:ascii="Times New Roman" w:hAnsi="Times New Roman" w:cs="Times New Roman"/>
        </w:rPr>
      </w:pPr>
      <w:r w:rsidRPr="00261920">
        <w:rPr>
          <w:rFonts w:ascii="Times New Roman" w:hAnsi="Times New Roman" w:cs="Times New Roman"/>
        </w:rPr>
        <w:t>Il est</w:t>
      </w:r>
      <w:r w:rsidR="000D7963">
        <w:rPr>
          <w:rFonts w:ascii="Times New Roman" w:hAnsi="Times New Roman" w:cs="Times New Roman"/>
        </w:rPr>
        <w:t xml:space="preserve"> aussi</w:t>
      </w:r>
      <w:r w:rsidRPr="00261920">
        <w:rPr>
          <w:rFonts w:ascii="Times New Roman" w:hAnsi="Times New Roman" w:cs="Times New Roman"/>
        </w:rPr>
        <w:t xml:space="preserve"> important de souligner, dans le cadre de cette plénière consacrée à la coopération, que la défense fait face à des défis particulièrement spécifiques en matière de coopération.</w:t>
      </w:r>
    </w:p>
    <w:p w14:paraId="5AD72FA5" w14:textId="77777777" w:rsidR="00261920" w:rsidRPr="00261920" w:rsidRDefault="00261920" w:rsidP="00261920">
      <w:pPr>
        <w:jc w:val="both"/>
        <w:rPr>
          <w:rFonts w:ascii="Times New Roman" w:hAnsi="Times New Roman" w:cs="Times New Roman"/>
        </w:rPr>
      </w:pPr>
    </w:p>
    <w:p w14:paraId="6B28113E" w14:textId="5DA04355" w:rsidR="00261920" w:rsidRDefault="00261920" w:rsidP="00261920">
      <w:pPr>
        <w:jc w:val="both"/>
        <w:rPr>
          <w:rFonts w:ascii="Times New Roman" w:hAnsi="Times New Roman" w:cs="Times New Roman"/>
        </w:rPr>
      </w:pPr>
      <w:r w:rsidRPr="00261920">
        <w:rPr>
          <w:rFonts w:ascii="Times New Roman" w:hAnsi="Times New Roman" w:cs="Times New Roman"/>
        </w:rPr>
        <w:t>En effet, les ressources dont dispose la défense sont considérablement plus limitées par rapport à celles des autres organes de la Cour, et je suis convaincue que vous êtes tous conscients de cette réalité.</w:t>
      </w:r>
    </w:p>
    <w:p w14:paraId="50CAEFFA" w14:textId="77777777" w:rsidR="00261920" w:rsidRPr="00261920" w:rsidRDefault="00261920" w:rsidP="00261920">
      <w:pPr>
        <w:jc w:val="both"/>
        <w:rPr>
          <w:rFonts w:ascii="Times New Roman" w:hAnsi="Times New Roman" w:cs="Times New Roman"/>
        </w:rPr>
      </w:pPr>
    </w:p>
    <w:p w14:paraId="7B2A75A0" w14:textId="7D1A68C6" w:rsidR="00261920" w:rsidRPr="00261920" w:rsidRDefault="00261920" w:rsidP="00261920">
      <w:pPr>
        <w:jc w:val="both"/>
        <w:rPr>
          <w:rFonts w:ascii="Times New Roman" w:hAnsi="Times New Roman" w:cs="Times New Roman"/>
        </w:rPr>
      </w:pPr>
      <w:r w:rsidRPr="00261920">
        <w:rPr>
          <w:rFonts w:ascii="Times New Roman" w:hAnsi="Times New Roman" w:cs="Times New Roman"/>
        </w:rPr>
        <w:lastRenderedPageBreak/>
        <w:t>Contrairement au Bureau du Procureur, la défense ne dispose pas d'un</w:t>
      </w:r>
      <w:r w:rsidR="000D7963">
        <w:rPr>
          <w:rFonts w:ascii="Times New Roman" w:hAnsi="Times New Roman" w:cs="Times New Roman"/>
        </w:rPr>
        <w:t>e section ou</w:t>
      </w:r>
      <w:r w:rsidRPr="00261920">
        <w:rPr>
          <w:rFonts w:ascii="Times New Roman" w:hAnsi="Times New Roman" w:cs="Times New Roman"/>
        </w:rPr>
        <w:t xml:space="preserve"> d’un point focal spécifiquement dédié à la coopération. </w:t>
      </w:r>
      <w:r w:rsidR="00D83563">
        <w:rPr>
          <w:rFonts w:ascii="Times New Roman" w:hAnsi="Times New Roman" w:cs="Times New Roman"/>
        </w:rPr>
        <w:t>N</w:t>
      </w:r>
      <w:r w:rsidRPr="00261920">
        <w:rPr>
          <w:rFonts w:ascii="Times New Roman" w:hAnsi="Times New Roman" w:cs="Times New Roman"/>
        </w:rPr>
        <w:t xml:space="preserve">ous n’avons pas </w:t>
      </w:r>
      <w:r w:rsidR="00D83563">
        <w:rPr>
          <w:rFonts w:ascii="Times New Roman" w:hAnsi="Times New Roman" w:cs="Times New Roman"/>
        </w:rPr>
        <w:t xml:space="preserve">ou très rarement </w:t>
      </w:r>
      <w:r w:rsidRPr="00261920">
        <w:rPr>
          <w:rFonts w:ascii="Times New Roman" w:hAnsi="Times New Roman" w:cs="Times New Roman"/>
        </w:rPr>
        <w:t xml:space="preserve">de canaux de communication </w:t>
      </w:r>
      <w:r w:rsidR="000D7963" w:rsidRPr="00261920">
        <w:rPr>
          <w:rFonts w:ascii="Times New Roman" w:hAnsi="Times New Roman" w:cs="Times New Roman"/>
        </w:rPr>
        <w:t xml:space="preserve">directs </w:t>
      </w:r>
      <w:r w:rsidRPr="00261920">
        <w:rPr>
          <w:rFonts w:ascii="Times New Roman" w:hAnsi="Times New Roman" w:cs="Times New Roman"/>
        </w:rPr>
        <w:t>avec les États, ce qui rend notre tâche encore plus complexe lorsqu'il s'agit de garantir une coopération efficace .</w:t>
      </w:r>
    </w:p>
    <w:p w14:paraId="0C6A2E6D" w14:textId="77777777" w:rsidR="00F71867" w:rsidRPr="00B427C5" w:rsidRDefault="00F71867" w:rsidP="00B427C5">
      <w:pPr>
        <w:jc w:val="both"/>
        <w:rPr>
          <w:rFonts w:ascii="Times New Roman" w:hAnsi="Times New Roman" w:cs="Times New Roman"/>
        </w:rPr>
      </w:pPr>
    </w:p>
    <w:p w14:paraId="03DD6B5C" w14:textId="385B4BCF" w:rsidR="00261920" w:rsidRDefault="00261920" w:rsidP="00261920">
      <w:pPr>
        <w:jc w:val="both"/>
        <w:rPr>
          <w:rFonts w:ascii="Times New Roman" w:hAnsi="Times New Roman" w:cs="Times New Roman"/>
        </w:rPr>
      </w:pPr>
      <w:r w:rsidRPr="00261920">
        <w:rPr>
          <w:rFonts w:ascii="Times New Roman" w:hAnsi="Times New Roman" w:cs="Times New Roman"/>
        </w:rPr>
        <w:t>Le greffe a la possibilité de transmettre nos requêtes aux États, mais en raison de sa position</w:t>
      </w:r>
      <w:r w:rsidR="000D7963">
        <w:rPr>
          <w:rFonts w:ascii="Times New Roman" w:hAnsi="Times New Roman" w:cs="Times New Roman"/>
        </w:rPr>
        <w:t xml:space="preserve"> </w:t>
      </w:r>
      <w:r w:rsidRPr="00261920">
        <w:rPr>
          <w:rFonts w:ascii="Times New Roman" w:hAnsi="Times New Roman" w:cs="Times New Roman"/>
        </w:rPr>
        <w:t xml:space="preserve">de neutralité, il ne peut pas négocier au nom de la défense. De ce fait, les demandes formulées par la défense </w:t>
      </w:r>
      <w:r w:rsidR="001C28BF">
        <w:rPr>
          <w:rFonts w:ascii="Times New Roman" w:hAnsi="Times New Roman" w:cs="Times New Roman"/>
        </w:rPr>
        <w:t xml:space="preserve">ne sont pas nécessairement perçues comme ayant </w:t>
      </w:r>
      <w:r w:rsidRPr="00261920">
        <w:rPr>
          <w:rFonts w:ascii="Times New Roman" w:hAnsi="Times New Roman" w:cs="Times New Roman"/>
        </w:rPr>
        <w:t xml:space="preserve"> le même poids </w:t>
      </w:r>
      <w:r w:rsidR="001C28BF">
        <w:rPr>
          <w:rFonts w:ascii="Times New Roman" w:hAnsi="Times New Roman" w:cs="Times New Roman"/>
        </w:rPr>
        <w:t>ou</w:t>
      </w:r>
      <w:r w:rsidR="00C572A0">
        <w:rPr>
          <w:rFonts w:ascii="Times New Roman" w:hAnsi="Times New Roman" w:cs="Times New Roman"/>
        </w:rPr>
        <w:t xml:space="preserve"> la même</w:t>
      </w:r>
      <w:r w:rsidR="001C28BF">
        <w:rPr>
          <w:rFonts w:ascii="Times New Roman" w:hAnsi="Times New Roman" w:cs="Times New Roman"/>
        </w:rPr>
        <w:t xml:space="preserve"> légitimité </w:t>
      </w:r>
      <w:r w:rsidRPr="00261920">
        <w:rPr>
          <w:rFonts w:ascii="Times New Roman" w:hAnsi="Times New Roman" w:cs="Times New Roman"/>
        </w:rPr>
        <w:t>que celles émanant du bureau du Procureur.</w:t>
      </w:r>
    </w:p>
    <w:p w14:paraId="1C82DF30" w14:textId="77777777" w:rsidR="00261920" w:rsidRPr="00261920" w:rsidRDefault="00261920" w:rsidP="00261920">
      <w:pPr>
        <w:jc w:val="both"/>
        <w:rPr>
          <w:rFonts w:ascii="Times New Roman" w:hAnsi="Times New Roman" w:cs="Times New Roman"/>
        </w:rPr>
      </w:pPr>
    </w:p>
    <w:p w14:paraId="606C6ABB" w14:textId="7E03078A" w:rsidR="00261920" w:rsidRDefault="006C4BBE" w:rsidP="00261920">
      <w:pPr>
        <w:jc w:val="both"/>
        <w:rPr>
          <w:rFonts w:ascii="Times New Roman" w:hAnsi="Times New Roman" w:cs="Times New Roman"/>
        </w:rPr>
      </w:pPr>
      <w:r>
        <w:rPr>
          <w:rFonts w:ascii="Times New Roman" w:hAnsi="Times New Roman" w:cs="Times New Roman"/>
        </w:rPr>
        <w:t>D</w:t>
      </w:r>
      <w:r w:rsidR="00261920" w:rsidRPr="00261920">
        <w:rPr>
          <w:rFonts w:ascii="Times New Roman" w:hAnsi="Times New Roman" w:cs="Times New Roman"/>
        </w:rPr>
        <w:t>ans certains cas, nous faisons face à une certaine réticence de la part de certains États à coopérer directement avec la défense.</w:t>
      </w:r>
      <w:r w:rsidR="00287D17">
        <w:rPr>
          <w:rFonts w:ascii="Times New Roman" w:hAnsi="Times New Roman" w:cs="Times New Roman"/>
        </w:rPr>
        <w:t xml:space="preserve"> </w:t>
      </w:r>
    </w:p>
    <w:p w14:paraId="4B7161F8" w14:textId="77777777" w:rsidR="00261920" w:rsidRPr="00261920" w:rsidRDefault="00261920" w:rsidP="00261920">
      <w:pPr>
        <w:jc w:val="both"/>
        <w:rPr>
          <w:rFonts w:ascii="Times New Roman" w:hAnsi="Times New Roman" w:cs="Times New Roman"/>
        </w:rPr>
      </w:pPr>
    </w:p>
    <w:p w14:paraId="672DD050" w14:textId="77777777" w:rsidR="00750E3A" w:rsidRDefault="00261920" w:rsidP="00261920">
      <w:pPr>
        <w:jc w:val="both"/>
        <w:rPr>
          <w:rFonts w:ascii="Times New Roman" w:hAnsi="Times New Roman" w:cs="Times New Roman"/>
        </w:rPr>
      </w:pPr>
      <w:r w:rsidRPr="00261920">
        <w:rPr>
          <w:rFonts w:ascii="Times New Roman" w:hAnsi="Times New Roman" w:cs="Times New Roman"/>
        </w:rPr>
        <w:t xml:space="preserve">Cela a </w:t>
      </w:r>
      <w:r w:rsidR="00750E3A">
        <w:rPr>
          <w:rFonts w:ascii="Times New Roman" w:hAnsi="Times New Roman" w:cs="Times New Roman"/>
        </w:rPr>
        <w:t xml:space="preserve">nécessairement </w:t>
      </w:r>
      <w:r w:rsidRPr="00261920">
        <w:rPr>
          <w:rFonts w:ascii="Times New Roman" w:hAnsi="Times New Roman" w:cs="Times New Roman"/>
        </w:rPr>
        <w:t xml:space="preserve">des répercussions sur </w:t>
      </w:r>
      <w:r w:rsidR="00287D17">
        <w:rPr>
          <w:rFonts w:ascii="Times New Roman" w:hAnsi="Times New Roman" w:cs="Times New Roman"/>
        </w:rPr>
        <w:t>l</w:t>
      </w:r>
      <w:r w:rsidR="00750E3A">
        <w:rPr>
          <w:rFonts w:ascii="Times New Roman" w:hAnsi="Times New Roman" w:cs="Times New Roman"/>
        </w:rPr>
        <w:t>e</w:t>
      </w:r>
      <w:r w:rsidR="00287D17">
        <w:rPr>
          <w:rFonts w:ascii="Times New Roman" w:hAnsi="Times New Roman" w:cs="Times New Roman"/>
        </w:rPr>
        <w:t xml:space="preserve"> </w:t>
      </w:r>
      <w:r w:rsidRPr="00261920">
        <w:rPr>
          <w:rFonts w:ascii="Times New Roman" w:hAnsi="Times New Roman" w:cs="Times New Roman"/>
        </w:rPr>
        <w:t>travail</w:t>
      </w:r>
      <w:r w:rsidR="00750E3A">
        <w:rPr>
          <w:rFonts w:ascii="Times New Roman" w:hAnsi="Times New Roman" w:cs="Times New Roman"/>
        </w:rPr>
        <w:t xml:space="preserve"> de la Defence</w:t>
      </w:r>
      <w:r w:rsidR="00287D17">
        <w:rPr>
          <w:rFonts w:ascii="Times New Roman" w:hAnsi="Times New Roman" w:cs="Times New Roman"/>
        </w:rPr>
        <w:t>,</w:t>
      </w:r>
      <w:r>
        <w:rPr>
          <w:rFonts w:ascii="Times New Roman" w:hAnsi="Times New Roman" w:cs="Times New Roman"/>
        </w:rPr>
        <w:t xml:space="preserve"> vital pour la</w:t>
      </w:r>
      <w:r w:rsidR="00883B09">
        <w:rPr>
          <w:rFonts w:ascii="Times New Roman" w:hAnsi="Times New Roman" w:cs="Times New Roman"/>
        </w:rPr>
        <w:t xml:space="preserve"> Cour</w:t>
      </w:r>
      <w:r w:rsidR="00750E3A">
        <w:rPr>
          <w:rFonts w:ascii="Times New Roman" w:hAnsi="Times New Roman" w:cs="Times New Roman"/>
        </w:rPr>
        <w:t>.</w:t>
      </w:r>
    </w:p>
    <w:p w14:paraId="2C94FA1C" w14:textId="77777777" w:rsidR="00750E3A" w:rsidRDefault="00750E3A" w:rsidP="00261920">
      <w:pPr>
        <w:jc w:val="both"/>
        <w:rPr>
          <w:rFonts w:ascii="Times New Roman" w:hAnsi="Times New Roman" w:cs="Times New Roman"/>
        </w:rPr>
      </w:pPr>
    </w:p>
    <w:p w14:paraId="080416DA" w14:textId="242D04E0" w:rsidR="001D359A" w:rsidRDefault="00750E3A" w:rsidP="00261920">
      <w:pPr>
        <w:jc w:val="both"/>
        <w:rPr>
          <w:rFonts w:ascii="Times New Roman" w:hAnsi="Times New Roman" w:cs="Times New Roman"/>
        </w:rPr>
      </w:pPr>
      <w:r>
        <w:rPr>
          <w:rFonts w:ascii="Times New Roman" w:hAnsi="Times New Roman" w:cs="Times New Roman"/>
        </w:rPr>
        <w:t>Certaines initiatives pourrait faciliter cette coopération et assurer une</w:t>
      </w:r>
      <w:r w:rsidRPr="00750E3A">
        <w:rPr>
          <w:rFonts w:ascii="Times New Roman" w:hAnsi="Times New Roman" w:cs="Times New Roman"/>
        </w:rPr>
        <w:t xml:space="preserve"> </w:t>
      </w:r>
      <w:r>
        <w:rPr>
          <w:rFonts w:ascii="Times New Roman" w:hAnsi="Times New Roman" w:cs="Times New Roman"/>
        </w:rPr>
        <w:t>meilleure prise en charge des intérêts et défis particulier</w:t>
      </w:r>
      <w:r w:rsidR="008A17D3">
        <w:rPr>
          <w:rFonts w:ascii="Times New Roman" w:hAnsi="Times New Roman" w:cs="Times New Roman"/>
        </w:rPr>
        <w:t xml:space="preserve"> liés</w:t>
      </w:r>
      <w:r>
        <w:rPr>
          <w:rFonts w:ascii="Times New Roman" w:hAnsi="Times New Roman" w:cs="Times New Roman"/>
        </w:rPr>
        <w:t xml:space="preserve"> aux témoins de la Defence, comme par exemple </w:t>
      </w:r>
      <w:r w:rsidR="007B1AD4">
        <w:rPr>
          <w:rFonts w:ascii="Times New Roman" w:hAnsi="Times New Roman" w:cs="Times New Roman"/>
        </w:rPr>
        <w:t xml:space="preserve"> </w:t>
      </w:r>
      <w:r>
        <w:rPr>
          <w:rFonts w:ascii="Times New Roman" w:hAnsi="Times New Roman" w:cs="Times New Roman"/>
        </w:rPr>
        <w:t>l</w:t>
      </w:r>
      <w:r w:rsidR="001D359A">
        <w:rPr>
          <w:rFonts w:ascii="Times New Roman" w:hAnsi="Times New Roman" w:cs="Times New Roman"/>
        </w:rPr>
        <w:t xml:space="preserve">a désignation d’un point focal spécifique pour la Defence </w:t>
      </w:r>
      <w:r>
        <w:rPr>
          <w:rFonts w:ascii="Times New Roman" w:hAnsi="Times New Roman" w:cs="Times New Roman"/>
        </w:rPr>
        <w:t>ou notamment</w:t>
      </w:r>
      <w:r w:rsidR="001D359A">
        <w:rPr>
          <w:rFonts w:ascii="Times New Roman" w:hAnsi="Times New Roman" w:cs="Times New Roman"/>
        </w:rPr>
        <w:t xml:space="preserve"> </w:t>
      </w:r>
      <w:r>
        <w:rPr>
          <w:rFonts w:ascii="Times New Roman" w:hAnsi="Times New Roman" w:cs="Times New Roman"/>
        </w:rPr>
        <w:t>l</w:t>
      </w:r>
      <w:r w:rsidR="001D359A">
        <w:rPr>
          <w:rFonts w:ascii="Times New Roman" w:hAnsi="Times New Roman" w:cs="Times New Roman"/>
        </w:rPr>
        <w:t>’inclusion de la Defence dans la négociation des ententes de relocalisation</w:t>
      </w:r>
      <w:r>
        <w:rPr>
          <w:rFonts w:ascii="Times New Roman" w:hAnsi="Times New Roman" w:cs="Times New Roman"/>
        </w:rPr>
        <w:t>.</w:t>
      </w:r>
    </w:p>
    <w:p w14:paraId="1360434F" w14:textId="77777777" w:rsidR="006C4BBE" w:rsidRDefault="006C4BBE" w:rsidP="00B427C5">
      <w:pPr>
        <w:jc w:val="both"/>
        <w:rPr>
          <w:rFonts w:ascii="Times New Roman" w:hAnsi="Times New Roman" w:cs="Times New Roman"/>
        </w:rPr>
      </w:pPr>
    </w:p>
    <w:p w14:paraId="684C53CA" w14:textId="27346148" w:rsidR="00261920" w:rsidRPr="00B427C5" w:rsidRDefault="00261920" w:rsidP="00B427C5">
      <w:pPr>
        <w:jc w:val="both"/>
        <w:rPr>
          <w:rFonts w:ascii="Times New Roman" w:hAnsi="Times New Roman" w:cs="Times New Roman"/>
        </w:rPr>
      </w:pPr>
      <w:r w:rsidRPr="00261920">
        <w:rPr>
          <w:rFonts w:ascii="Times New Roman" w:hAnsi="Times New Roman" w:cs="Times New Roman"/>
        </w:rPr>
        <w:t>La légitimité de la justice pénale internationale repose sur l'intégrité du processus judiciaire</w:t>
      </w:r>
      <w:r w:rsidR="008A17D3">
        <w:rPr>
          <w:rFonts w:ascii="Times New Roman" w:hAnsi="Times New Roman" w:cs="Times New Roman"/>
        </w:rPr>
        <w:t xml:space="preserve"> et l</w:t>
      </w:r>
      <w:r w:rsidRPr="00261920">
        <w:rPr>
          <w:rFonts w:ascii="Times New Roman" w:hAnsi="Times New Roman" w:cs="Times New Roman"/>
        </w:rPr>
        <w:t>e droit à une défense effective</w:t>
      </w:r>
      <w:r w:rsidR="00883B09">
        <w:rPr>
          <w:rFonts w:ascii="Times New Roman" w:hAnsi="Times New Roman" w:cs="Times New Roman"/>
        </w:rPr>
        <w:t>, pleine et entière,</w:t>
      </w:r>
      <w:r w:rsidRPr="00261920">
        <w:rPr>
          <w:rFonts w:ascii="Times New Roman" w:hAnsi="Times New Roman" w:cs="Times New Roman"/>
        </w:rPr>
        <w:t xml:space="preserve"> repose, entre autres, sur la possibilité pour la défense de présenter des témoins dans des conditions qui garantissent non seulement leur sécurité, mais également la protection de leur dignité et le respect de leurs droits humains, ainsi que ceux de leurs familles</w:t>
      </w:r>
      <w:r>
        <w:rPr>
          <w:rFonts w:ascii="Times New Roman" w:hAnsi="Times New Roman" w:cs="Times New Roman"/>
        </w:rPr>
        <w:t>.</w:t>
      </w:r>
    </w:p>
    <w:sectPr w:rsidR="00261920" w:rsidRPr="00B427C5">
      <w:headerReference w:type="even" r:id="rId7"/>
      <w:headerReference w:type="default" r:id="rId8"/>
      <w:headerReference w:type="firs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21AF6" w14:textId="77777777" w:rsidR="00C33F39" w:rsidRDefault="00C33F39" w:rsidP="004B2909">
      <w:r>
        <w:separator/>
      </w:r>
    </w:p>
  </w:endnote>
  <w:endnote w:type="continuationSeparator" w:id="0">
    <w:p w14:paraId="46806167" w14:textId="77777777" w:rsidR="00C33F39" w:rsidRDefault="00C33F39" w:rsidP="004B2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BF627" w14:textId="77777777" w:rsidR="00C33F39" w:rsidRDefault="00C33F39" w:rsidP="004B2909">
      <w:r>
        <w:separator/>
      </w:r>
    </w:p>
  </w:footnote>
  <w:footnote w:type="continuationSeparator" w:id="0">
    <w:p w14:paraId="71A75921" w14:textId="77777777" w:rsidR="00C33F39" w:rsidRDefault="00C33F39" w:rsidP="004B2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4C26D" w14:textId="384DEEDE" w:rsidR="004B2909" w:rsidRDefault="004B2909">
    <w:pPr>
      <w:pStyle w:val="Header"/>
    </w:pPr>
    <w:r>
      <w:rPr>
        <w:noProof/>
      </w:rPr>
      <mc:AlternateContent>
        <mc:Choice Requires="wps">
          <w:drawing>
            <wp:anchor distT="0" distB="0" distL="0" distR="0" simplePos="0" relativeHeight="251659264" behindDoc="0" locked="0" layoutInCell="1" allowOverlap="1" wp14:anchorId="20D19D55" wp14:editId="21D539BE">
              <wp:simplePos x="635" y="635"/>
              <wp:positionH relativeFrom="page">
                <wp:align>center</wp:align>
              </wp:positionH>
              <wp:positionV relativeFrom="page">
                <wp:align>top</wp:align>
              </wp:positionV>
              <wp:extent cx="1252855" cy="407670"/>
              <wp:effectExtent l="0" t="0" r="4445" b="11430"/>
              <wp:wrapNone/>
              <wp:docPr id="1608504572" name="Text Box 2" descr="[ICC]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52855" cy="407670"/>
                      </a:xfrm>
                      <a:prstGeom prst="rect">
                        <a:avLst/>
                      </a:prstGeom>
                      <a:noFill/>
                      <a:ln>
                        <a:noFill/>
                      </a:ln>
                    </wps:spPr>
                    <wps:txbx>
                      <w:txbxContent>
                        <w:p w14:paraId="7A7AC1F7" w14:textId="5270194A" w:rsidR="004B2909" w:rsidRPr="004B2909" w:rsidRDefault="004B2909" w:rsidP="004B2909">
                          <w:pPr>
                            <w:rPr>
                              <w:rFonts w:ascii="Calibri" w:eastAsia="Calibri" w:hAnsi="Calibri" w:cs="Calibri"/>
                              <w:noProof/>
                              <w:color w:val="000000"/>
                              <w:sz w:val="28"/>
                              <w:szCs w:val="28"/>
                            </w:rPr>
                          </w:pPr>
                          <w:r w:rsidRPr="004B2909">
                            <w:rPr>
                              <w:rFonts w:ascii="Calibri" w:eastAsia="Calibri" w:hAnsi="Calibri" w:cs="Calibri"/>
                              <w:noProof/>
                              <w:color w:val="000000"/>
                              <w:sz w:val="28"/>
                              <w:szCs w:val="28"/>
                            </w:rPr>
                            <w:t>[ICC]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20D19D55" id="_x0000_t202" coordsize="21600,21600" o:spt="202" path="m,l,21600r21600,l21600,xe">
              <v:stroke joinstyle="miter"/>
              <v:path gradientshapeok="t" o:connecttype="rect"/>
            </v:shapetype>
            <v:shape id="Text Box 2" o:spid="_x0000_s1026" type="#_x0000_t202" alt="[ICC] RESTRICTED" style="position:absolute;margin-left:0;margin-top:0;width:98.65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" filled="f" stroked="f">
              <v:textbox style="mso-fit-shape-to-text:t" inset="0,15pt,0,0">
                <w:txbxContent>
                  <w:p w14:paraId="7A7AC1F7" w14:textId="5270194A" w:rsidR="004B2909" w:rsidRPr="004B2909" w:rsidRDefault="004B2909" w:rsidP="004B2909">
                    <w:pPr>
                      <w:rPr>
                        <w:rFonts w:ascii="Calibri" w:eastAsia="Calibri" w:hAnsi="Calibri" w:cs="Calibri"/>
                        <w:noProof/>
                        <w:color w:val="000000"/>
                        <w:sz w:val="28"/>
                        <w:szCs w:val="28"/>
                      </w:rPr>
                    </w:pPr>
                    <w:r w:rsidRPr="004B2909">
                      <w:rPr>
                        <w:rFonts w:ascii="Calibri" w:eastAsia="Calibri" w:hAnsi="Calibri" w:cs="Calibri"/>
                        <w:noProof/>
                        <w:color w:val="000000"/>
                        <w:sz w:val="28"/>
                        <w:szCs w:val="28"/>
                      </w:rPr>
                      <w:t>[ICC]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9703E" w14:textId="1AED3CB7" w:rsidR="004B2909" w:rsidRDefault="004B2909">
    <w:pPr>
      <w:pStyle w:val="Header"/>
    </w:pPr>
    <w:r>
      <w:rPr>
        <w:noProof/>
      </w:rPr>
      <mc:AlternateContent>
        <mc:Choice Requires="wps">
          <w:drawing>
            <wp:anchor distT="0" distB="0" distL="0" distR="0" simplePos="0" relativeHeight="251660288" behindDoc="0" locked="0" layoutInCell="1" allowOverlap="1" wp14:anchorId="1A3EECEF" wp14:editId="18E4F5A5">
              <wp:simplePos x="1143000" y="447675"/>
              <wp:positionH relativeFrom="page">
                <wp:align>center</wp:align>
              </wp:positionH>
              <wp:positionV relativeFrom="page">
                <wp:align>top</wp:align>
              </wp:positionV>
              <wp:extent cx="1252855" cy="407670"/>
              <wp:effectExtent l="0" t="0" r="4445" b="11430"/>
              <wp:wrapNone/>
              <wp:docPr id="1136095726" name="Text Box 3" descr="[ICC]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52855" cy="407670"/>
                      </a:xfrm>
                      <a:prstGeom prst="rect">
                        <a:avLst/>
                      </a:prstGeom>
                      <a:noFill/>
                      <a:ln>
                        <a:noFill/>
                      </a:ln>
                    </wps:spPr>
                    <wps:txbx>
                      <w:txbxContent>
                        <w:p w14:paraId="238E522C" w14:textId="25F33442" w:rsidR="004B2909" w:rsidRPr="004B2909" w:rsidRDefault="004B2909" w:rsidP="004B2909">
                          <w:pPr>
                            <w:rPr>
                              <w:rFonts w:ascii="Calibri" w:eastAsia="Calibri" w:hAnsi="Calibri" w:cs="Calibri"/>
                              <w:noProof/>
                              <w:color w:val="000000"/>
                              <w:sz w:val="28"/>
                              <w:szCs w:val="28"/>
                            </w:rPr>
                          </w:pPr>
                          <w:r w:rsidRPr="004B2909">
                            <w:rPr>
                              <w:rFonts w:ascii="Calibri" w:eastAsia="Calibri" w:hAnsi="Calibri" w:cs="Calibri"/>
                              <w:noProof/>
                              <w:color w:val="000000"/>
                              <w:sz w:val="28"/>
                              <w:szCs w:val="28"/>
                            </w:rPr>
                            <w:t>[ICC]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1A3EECEF" id="_x0000_t202" coordsize="21600,21600" o:spt="202" path="m,l,21600r21600,l21600,xe">
              <v:stroke joinstyle="miter"/>
              <v:path gradientshapeok="t" o:connecttype="rect"/>
            </v:shapetype>
            <v:shape id="Text Box 3" o:spid="_x0000_s1027" type="#_x0000_t202" alt="[ICC] RESTRICTED" style="position:absolute;margin-left:0;margin-top:0;width:98.65pt;height:32.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" filled="f" stroked="f">
              <v:textbox style="mso-fit-shape-to-text:t" inset="0,15pt,0,0">
                <w:txbxContent>
                  <w:p w14:paraId="238E522C" w14:textId="25F33442" w:rsidR="004B2909" w:rsidRPr="004B2909" w:rsidRDefault="004B2909" w:rsidP="004B2909">
                    <w:pPr>
                      <w:rPr>
                        <w:rFonts w:ascii="Calibri" w:eastAsia="Calibri" w:hAnsi="Calibri" w:cs="Calibri"/>
                        <w:noProof/>
                        <w:color w:val="000000"/>
                        <w:sz w:val="28"/>
                        <w:szCs w:val="28"/>
                      </w:rPr>
                    </w:pPr>
                    <w:r w:rsidRPr="004B2909">
                      <w:rPr>
                        <w:rFonts w:ascii="Calibri" w:eastAsia="Calibri" w:hAnsi="Calibri" w:cs="Calibri"/>
                        <w:noProof/>
                        <w:color w:val="000000"/>
                        <w:sz w:val="28"/>
                        <w:szCs w:val="28"/>
                      </w:rPr>
                      <w:t>[ICC] RESTRICTED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111A6" w14:textId="3A7FB1A8" w:rsidR="004B2909" w:rsidRDefault="004B2909">
    <w:pPr>
      <w:pStyle w:val="Header"/>
    </w:pPr>
    <w:r>
      <w:rPr>
        <w:noProof/>
      </w:rPr>
      <mc:AlternateContent>
        <mc:Choice Requires="wps">
          <w:drawing>
            <wp:anchor distT="0" distB="0" distL="0" distR="0" simplePos="0" relativeHeight="251658240" behindDoc="0" locked="0" layoutInCell="1" allowOverlap="1" wp14:anchorId="4FCF470F" wp14:editId="59AB5424">
              <wp:simplePos x="635" y="635"/>
              <wp:positionH relativeFrom="page">
                <wp:align>center</wp:align>
              </wp:positionH>
              <wp:positionV relativeFrom="page">
                <wp:align>top</wp:align>
              </wp:positionV>
              <wp:extent cx="1252855" cy="407670"/>
              <wp:effectExtent l="0" t="0" r="4445" b="11430"/>
              <wp:wrapNone/>
              <wp:docPr id="1592387572" name="Text Box 1" descr="[ICC]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52855" cy="407670"/>
                      </a:xfrm>
                      <a:prstGeom prst="rect">
                        <a:avLst/>
                      </a:prstGeom>
                      <a:noFill/>
                      <a:ln>
                        <a:noFill/>
                      </a:ln>
                    </wps:spPr>
                    <wps:txbx>
                      <w:txbxContent>
                        <w:p w14:paraId="3F938448" w14:textId="1946A4A9" w:rsidR="004B2909" w:rsidRPr="004B2909" w:rsidRDefault="004B2909" w:rsidP="004B2909">
                          <w:pPr>
                            <w:rPr>
                              <w:rFonts w:ascii="Calibri" w:eastAsia="Calibri" w:hAnsi="Calibri" w:cs="Calibri"/>
                              <w:noProof/>
                              <w:color w:val="000000"/>
                              <w:sz w:val="28"/>
                              <w:szCs w:val="28"/>
                            </w:rPr>
                          </w:pPr>
                          <w:r w:rsidRPr="004B2909">
                            <w:rPr>
                              <w:rFonts w:ascii="Calibri" w:eastAsia="Calibri" w:hAnsi="Calibri" w:cs="Calibri"/>
                              <w:noProof/>
                              <w:color w:val="000000"/>
                              <w:sz w:val="28"/>
                              <w:szCs w:val="28"/>
                            </w:rPr>
                            <w:t>[ICC]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4FCF470F" id="_x0000_t202" coordsize="21600,21600" o:spt="202" path="m,l,21600r21600,l21600,xe">
              <v:stroke joinstyle="miter"/>
              <v:path gradientshapeok="t" o:connecttype="rect"/>
            </v:shapetype>
            <v:shape id="Text Box 1" o:spid="_x0000_s1028" type="#_x0000_t202" alt="[ICC] RESTRICTED" style="position:absolute;margin-left:0;margin-top:0;width:98.6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" filled="f" stroked="f">
              <v:textbox style="mso-fit-shape-to-text:t" inset="0,15pt,0,0">
                <w:txbxContent>
                  <w:p w14:paraId="3F938448" w14:textId="1946A4A9" w:rsidR="004B2909" w:rsidRPr="004B2909" w:rsidRDefault="004B2909" w:rsidP="004B2909">
                    <w:pPr>
                      <w:rPr>
                        <w:rFonts w:ascii="Calibri" w:eastAsia="Calibri" w:hAnsi="Calibri" w:cs="Calibri"/>
                        <w:noProof/>
                        <w:color w:val="000000"/>
                        <w:sz w:val="28"/>
                        <w:szCs w:val="28"/>
                      </w:rPr>
                    </w:pPr>
                    <w:r w:rsidRPr="004B2909">
                      <w:rPr>
                        <w:rFonts w:ascii="Calibri" w:eastAsia="Calibri" w:hAnsi="Calibri" w:cs="Calibri"/>
                        <w:noProof/>
                        <w:color w:val="000000"/>
                        <w:sz w:val="28"/>
                        <w:szCs w:val="28"/>
                      </w:rPr>
                      <w:t>[ICC] RESTRICTED</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D39"/>
    <w:rsid w:val="00092669"/>
    <w:rsid w:val="000D7963"/>
    <w:rsid w:val="00136336"/>
    <w:rsid w:val="001836D1"/>
    <w:rsid w:val="001C28BF"/>
    <w:rsid w:val="001D359A"/>
    <w:rsid w:val="00261920"/>
    <w:rsid w:val="00267696"/>
    <w:rsid w:val="00272B4A"/>
    <w:rsid w:val="00287D17"/>
    <w:rsid w:val="00292EE3"/>
    <w:rsid w:val="003939DE"/>
    <w:rsid w:val="00394C3D"/>
    <w:rsid w:val="004B2909"/>
    <w:rsid w:val="00616227"/>
    <w:rsid w:val="00684F0B"/>
    <w:rsid w:val="006C4BBE"/>
    <w:rsid w:val="006F6E63"/>
    <w:rsid w:val="00750E3A"/>
    <w:rsid w:val="007B1AD4"/>
    <w:rsid w:val="00803E0A"/>
    <w:rsid w:val="00862459"/>
    <w:rsid w:val="00883B09"/>
    <w:rsid w:val="008A17D3"/>
    <w:rsid w:val="008A5233"/>
    <w:rsid w:val="008D379F"/>
    <w:rsid w:val="008F5D39"/>
    <w:rsid w:val="009A63D2"/>
    <w:rsid w:val="009B5BA0"/>
    <w:rsid w:val="009F23FB"/>
    <w:rsid w:val="00B427C5"/>
    <w:rsid w:val="00B875FA"/>
    <w:rsid w:val="00BB638E"/>
    <w:rsid w:val="00BE7ED0"/>
    <w:rsid w:val="00BF3077"/>
    <w:rsid w:val="00C33F39"/>
    <w:rsid w:val="00C572A0"/>
    <w:rsid w:val="00CF1E6E"/>
    <w:rsid w:val="00D339ED"/>
    <w:rsid w:val="00D83563"/>
    <w:rsid w:val="00E32600"/>
    <w:rsid w:val="00E42505"/>
    <w:rsid w:val="00EC0D7B"/>
    <w:rsid w:val="00F118E0"/>
    <w:rsid w:val="00F62BCD"/>
    <w:rsid w:val="00F71867"/>
    <w:rsid w:val="00FE3896"/>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02C4"/>
  <w15:chartTrackingRefBased/>
  <w15:docId w15:val="{F1CDB848-645E-7040-BEC9-4324F86A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5D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5D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5D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5D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5D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5D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D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D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D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D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5D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5D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5D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5D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5D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D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D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D39"/>
    <w:rPr>
      <w:rFonts w:eastAsiaTheme="majorEastAsia" w:cstheme="majorBidi"/>
      <w:color w:val="272727" w:themeColor="text1" w:themeTint="D8"/>
    </w:rPr>
  </w:style>
  <w:style w:type="paragraph" w:styleId="Title">
    <w:name w:val="Title"/>
    <w:basedOn w:val="Normal"/>
    <w:next w:val="Normal"/>
    <w:link w:val="TitleChar"/>
    <w:uiPriority w:val="10"/>
    <w:qFormat/>
    <w:rsid w:val="008F5D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D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D3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D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D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F5D39"/>
    <w:rPr>
      <w:i/>
      <w:iCs/>
      <w:color w:val="404040" w:themeColor="text1" w:themeTint="BF"/>
    </w:rPr>
  </w:style>
  <w:style w:type="paragraph" w:styleId="ListParagraph">
    <w:name w:val="List Paragraph"/>
    <w:basedOn w:val="Normal"/>
    <w:uiPriority w:val="34"/>
    <w:qFormat/>
    <w:rsid w:val="008F5D39"/>
    <w:pPr>
      <w:ind w:left="720"/>
      <w:contextualSpacing/>
    </w:pPr>
  </w:style>
  <w:style w:type="character" w:styleId="IntenseEmphasis">
    <w:name w:val="Intense Emphasis"/>
    <w:basedOn w:val="DefaultParagraphFont"/>
    <w:uiPriority w:val="21"/>
    <w:qFormat/>
    <w:rsid w:val="008F5D39"/>
    <w:rPr>
      <w:i/>
      <w:iCs/>
      <w:color w:val="2F5496" w:themeColor="accent1" w:themeShade="BF"/>
    </w:rPr>
  </w:style>
  <w:style w:type="paragraph" w:styleId="IntenseQuote">
    <w:name w:val="Intense Quote"/>
    <w:basedOn w:val="Normal"/>
    <w:next w:val="Normal"/>
    <w:link w:val="IntenseQuoteChar"/>
    <w:uiPriority w:val="30"/>
    <w:qFormat/>
    <w:rsid w:val="008F5D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5D39"/>
    <w:rPr>
      <w:i/>
      <w:iCs/>
      <w:color w:val="2F5496" w:themeColor="accent1" w:themeShade="BF"/>
    </w:rPr>
  </w:style>
  <w:style w:type="character" w:styleId="IntenseReference">
    <w:name w:val="Intense Reference"/>
    <w:basedOn w:val="DefaultParagraphFont"/>
    <w:uiPriority w:val="32"/>
    <w:qFormat/>
    <w:rsid w:val="008F5D39"/>
    <w:rPr>
      <w:b/>
      <w:bCs/>
      <w:smallCaps/>
      <w:color w:val="2F5496" w:themeColor="accent1" w:themeShade="BF"/>
      <w:spacing w:val="5"/>
    </w:rPr>
  </w:style>
  <w:style w:type="paragraph" w:styleId="Header">
    <w:name w:val="header"/>
    <w:basedOn w:val="Normal"/>
    <w:link w:val="HeaderChar"/>
    <w:uiPriority w:val="99"/>
    <w:unhideWhenUsed/>
    <w:rsid w:val="004B2909"/>
    <w:pPr>
      <w:tabs>
        <w:tab w:val="center" w:pos="4513"/>
        <w:tab w:val="right" w:pos="9026"/>
      </w:tabs>
    </w:pPr>
  </w:style>
  <w:style w:type="character" w:customStyle="1" w:styleId="HeaderChar">
    <w:name w:val="Header Char"/>
    <w:basedOn w:val="DefaultParagraphFont"/>
    <w:link w:val="Header"/>
    <w:uiPriority w:val="99"/>
    <w:rsid w:val="004B2909"/>
  </w:style>
  <w:style w:type="paragraph" w:styleId="Revision">
    <w:name w:val="Revision"/>
    <w:hidden/>
    <w:uiPriority w:val="99"/>
    <w:semiHidden/>
    <w:rsid w:val="00BF3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07644">
      <w:bodyDiv w:val="1"/>
      <w:marLeft w:val="0"/>
      <w:marRight w:val="0"/>
      <w:marTop w:val="0"/>
      <w:marBottom w:val="0"/>
      <w:divBdr>
        <w:top w:val="none" w:sz="0" w:space="0" w:color="auto"/>
        <w:left w:val="none" w:sz="0" w:space="0" w:color="auto"/>
        <w:bottom w:val="none" w:sz="0" w:space="0" w:color="auto"/>
        <w:right w:val="none" w:sz="0" w:space="0" w:color="auto"/>
      </w:divBdr>
    </w:div>
    <w:div w:id="84805673">
      <w:bodyDiv w:val="1"/>
      <w:marLeft w:val="0"/>
      <w:marRight w:val="0"/>
      <w:marTop w:val="0"/>
      <w:marBottom w:val="0"/>
      <w:divBdr>
        <w:top w:val="none" w:sz="0" w:space="0" w:color="auto"/>
        <w:left w:val="none" w:sz="0" w:space="0" w:color="auto"/>
        <w:bottom w:val="none" w:sz="0" w:space="0" w:color="auto"/>
        <w:right w:val="none" w:sz="0" w:space="0" w:color="auto"/>
      </w:divBdr>
    </w:div>
    <w:div w:id="378436687">
      <w:bodyDiv w:val="1"/>
      <w:marLeft w:val="0"/>
      <w:marRight w:val="0"/>
      <w:marTop w:val="0"/>
      <w:marBottom w:val="0"/>
      <w:divBdr>
        <w:top w:val="none" w:sz="0" w:space="0" w:color="auto"/>
        <w:left w:val="none" w:sz="0" w:space="0" w:color="auto"/>
        <w:bottom w:val="none" w:sz="0" w:space="0" w:color="auto"/>
        <w:right w:val="none" w:sz="0" w:space="0" w:color="auto"/>
      </w:divBdr>
    </w:div>
    <w:div w:id="476917585">
      <w:bodyDiv w:val="1"/>
      <w:marLeft w:val="0"/>
      <w:marRight w:val="0"/>
      <w:marTop w:val="0"/>
      <w:marBottom w:val="0"/>
      <w:divBdr>
        <w:top w:val="none" w:sz="0" w:space="0" w:color="auto"/>
        <w:left w:val="none" w:sz="0" w:space="0" w:color="auto"/>
        <w:bottom w:val="none" w:sz="0" w:space="0" w:color="auto"/>
        <w:right w:val="none" w:sz="0" w:space="0" w:color="auto"/>
      </w:divBdr>
    </w:div>
    <w:div w:id="1202085460">
      <w:bodyDiv w:val="1"/>
      <w:marLeft w:val="0"/>
      <w:marRight w:val="0"/>
      <w:marTop w:val="0"/>
      <w:marBottom w:val="0"/>
      <w:divBdr>
        <w:top w:val="none" w:sz="0" w:space="0" w:color="auto"/>
        <w:left w:val="none" w:sz="0" w:space="0" w:color="auto"/>
        <w:bottom w:val="none" w:sz="0" w:space="0" w:color="auto"/>
        <w:right w:val="none" w:sz="0" w:space="0" w:color="auto"/>
      </w:divBdr>
    </w:div>
    <w:div w:id="1232428650">
      <w:bodyDiv w:val="1"/>
      <w:marLeft w:val="0"/>
      <w:marRight w:val="0"/>
      <w:marTop w:val="0"/>
      <w:marBottom w:val="0"/>
      <w:divBdr>
        <w:top w:val="none" w:sz="0" w:space="0" w:color="auto"/>
        <w:left w:val="none" w:sz="0" w:space="0" w:color="auto"/>
        <w:bottom w:val="none" w:sz="0" w:space="0" w:color="auto"/>
        <w:right w:val="none" w:sz="0" w:space="0" w:color="auto"/>
      </w:divBdr>
    </w:div>
    <w:div w:id="1513451851">
      <w:bodyDiv w:val="1"/>
      <w:marLeft w:val="0"/>
      <w:marRight w:val="0"/>
      <w:marTop w:val="0"/>
      <w:marBottom w:val="0"/>
      <w:divBdr>
        <w:top w:val="none" w:sz="0" w:space="0" w:color="auto"/>
        <w:left w:val="none" w:sz="0" w:space="0" w:color="auto"/>
        <w:bottom w:val="none" w:sz="0" w:space="0" w:color="auto"/>
        <w:right w:val="none" w:sz="0" w:space="0" w:color="auto"/>
      </w:divBdr>
    </w:div>
    <w:div w:id="2052336866">
      <w:bodyDiv w:val="1"/>
      <w:marLeft w:val="0"/>
      <w:marRight w:val="0"/>
      <w:marTop w:val="0"/>
      <w:marBottom w:val="0"/>
      <w:divBdr>
        <w:top w:val="none" w:sz="0" w:space="0" w:color="auto"/>
        <w:left w:val="none" w:sz="0" w:space="0" w:color="auto"/>
        <w:bottom w:val="none" w:sz="0" w:space="0" w:color="auto"/>
        <w:right w:val="none" w:sz="0" w:space="0" w:color="auto"/>
      </w:divBdr>
    </w:div>
    <w:div w:id="2053454145">
      <w:bodyDiv w:val="1"/>
      <w:marLeft w:val="0"/>
      <w:marRight w:val="0"/>
      <w:marTop w:val="0"/>
      <w:marBottom w:val="0"/>
      <w:divBdr>
        <w:top w:val="none" w:sz="0" w:space="0" w:color="auto"/>
        <w:left w:val="none" w:sz="0" w:space="0" w:color="auto"/>
        <w:bottom w:val="none" w:sz="0" w:space="0" w:color="auto"/>
        <w:right w:val="none" w:sz="0" w:space="0" w:color="auto"/>
      </w:divBdr>
    </w:div>
    <w:div w:id="210869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CD24F-5F15-49EB-88F5-1566407BA62E}">
  <ds:schemaRefs>
    <ds:schemaRef ds:uri="http://schemas.openxmlformats.org/officeDocument/2006/bibliography"/>
  </ds:schemaRefs>
</ds:datastoreItem>
</file>

<file path=docMetadata/LabelInfo.xml><?xml version="1.0" encoding="utf-8"?>
<clbl:labelList xmlns:clbl="http://schemas.microsoft.com/office/2020/mipLabelMetadata">
  <clbl:label id="{da0e285e-1842-4884-832f-885dd424d91e}" enabled="1" method="Standard" siteId="{3f478d65-1b9b-4caa-a123-7430e9bf86b3}" contentBits="1"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638</Words>
  <Characters>3638</Characters>
  <Application>Microsoft Office Word</Application>
  <DocSecurity>0</DocSecurity>
  <Lines>30</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Mélissa Beaulieu</dc:creator>
  <cp:keywords/>
  <dc:description/>
  <cp:lastModifiedBy>Uthman, Opeyemi</cp:lastModifiedBy>
  <cp:revision>2</cp:revision>
  <cp:lastPrinted>2025-12-03T15:40:00Z</cp:lastPrinted>
  <dcterms:created xsi:type="dcterms:W3CDTF">2026-07-03T13:45:00Z</dcterms:created>
  <dcterms:modified xsi:type="dcterms:W3CDTF">2026-07-03T13:45:00Z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5ee9e7f4,5fdfd4fc,43b771ee</vt:lpwstr>
  </property>
  <property fmtid="{D5CDD505-2E9C-101B-9397-08002B2CF9AE}" pid="3" name="ClassificationContentMarkingHeaderFontProps">
    <vt:lpwstr>#000000,14,Calibri</vt:lpwstr>
  </property>
  <property fmtid="{D5CDD505-2E9C-101B-9397-08002B2CF9AE}" pid="4" name="ClassificationContentMarkingHeaderText">
    <vt:lpwstr>[ICC] RESTRICTED</vt:lpwstr>
  </property>
</Properties>
</file>