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7F87F" w14:textId="300003BB" w:rsidR="00C1207E" w:rsidRPr="005E4452" w:rsidRDefault="00C1207E" w:rsidP="00C1207E">
      <w:pPr>
        <w:pStyle w:val="NormalWeb"/>
        <w:tabs>
          <w:tab w:val="left" w:pos="7680"/>
        </w:tabs>
        <w:rPr>
          <w:rFonts w:ascii="Palatino Linotype" w:hAnsi="Palatino Linotype" w:cs="Courier New"/>
          <w:color w:val="2B57AB"/>
          <w:spacing w:val="30"/>
          <w:sz w:val="20"/>
          <w:szCs w:val="20"/>
        </w:rPr>
      </w:pPr>
      <w:r w:rsidRPr="005E4452">
        <w:rPr>
          <w:rFonts w:ascii="Palatino Linotype" w:hAnsi="Palatino Linotype" w:cs="Courier New"/>
          <w:color w:val="2B57AB"/>
          <w:spacing w:val="30"/>
          <w:sz w:val="20"/>
          <w:szCs w:val="20"/>
        </w:rPr>
        <w:tab/>
      </w:r>
    </w:p>
    <w:p w14:paraId="2E74E49F" w14:textId="77777777" w:rsidR="00C1207E" w:rsidRPr="005E4452" w:rsidRDefault="00C1207E" w:rsidP="00C1207E">
      <w:pPr>
        <w:pStyle w:val="NormalWeb"/>
        <w:jc w:val="right"/>
        <w:rPr>
          <w:rFonts w:ascii="Palatino Linotype" w:hAnsi="Palatino Linotype" w:cs="Courier New"/>
          <w:color w:val="2B57AB"/>
          <w:spacing w:val="30"/>
          <w:sz w:val="20"/>
          <w:szCs w:val="20"/>
        </w:rPr>
      </w:pPr>
    </w:p>
    <w:p w14:paraId="55738259" w14:textId="77777777" w:rsidR="00C1207E" w:rsidRPr="005E4452" w:rsidRDefault="00C1207E" w:rsidP="00C1207E">
      <w:pPr>
        <w:pStyle w:val="NormalWeb"/>
        <w:jc w:val="right"/>
        <w:rPr>
          <w:rFonts w:ascii="Palatino Linotype" w:hAnsi="Palatino Linotype" w:cs="Courier New"/>
          <w:color w:val="2B57AB"/>
          <w:spacing w:val="30"/>
          <w:sz w:val="20"/>
          <w:szCs w:val="20"/>
        </w:rPr>
      </w:pPr>
    </w:p>
    <w:p w14:paraId="78FEA645" w14:textId="77777777" w:rsidR="00C1207E" w:rsidRDefault="00C1207E" w:rsidP="00C1207E">
      <w:pPr>
        <w:jc w:val="center"/>
        <w:rPr>
          <w:rFonts w:ascii="Palatino Linotype" w:hAnsi="Palatino Linotype" w:cs="Courier New"/>
          <w:color w:val="2B57AB"/>
          <w:spacing w:val="30"/>
          <w:sz w:val="20"/>
          <w:szCs w:val="20"/>
        </w:rPr>
      </w:pPr>
    </w:p>
    <w:p w14:paraId="0F4E7D1E" w14:textId="77777777" w:rsidR="00C1207E" w:rsidRDefault="00C1207E" w:rsidP="00C1207E">
      <w:pPr>
        <w:jc w:val="center"/>
        <w:rPr>
          <w:rFonts w:ascii="Palatino Linotype" w:hAnsi="Palatino Linotype" w:cs="Courier New"/>
          <w:color w:val="2B57AB"/>
          <w:spacing w:val="30"/>
          <w:sz w:val="20"/>
          <w:szCs w:val="20"/>
        </w:rPr>
      </w:pPr>
    </w:p>
    <w:p w14:paraId="5122A5A3" w14:textId="77777777" w:rsidR="00C1207E" w:rsidRPr="005D45ED" w:rsidRDefault="00C1207E" w:rsidP="00C1207E">
      <w:pPr>
        <w:jc w:val="center"/>
        <w:rPr>
          <w:rFonts w:ascii="Palatino Linotype" w:hAnsi="Palatino Linotype" w:cs="Courier New"/>
          <w:color w:val="2B57AB"/>
          <w:spacing w:val="30"/>
          <w:sz w:val="26"/>
          <w:szCs w:val="26"/>
        </w:rPr>
      </w:pPr>
    </w:p>
    <w:p w14:paraId="393951D4" w14:textId="155E46FB" w:rsidR="00C1207E" w:rsidRPr="005D45ED" w:rsidRDefault="00C1207E" w:rsidP="00C1207E">
      <w:pPr>
        <w:jc w:val="center"/>
        <w:rPr>
          <w:rFonts w:ascii="Palatino Linotype" w:hAnsi="Palatino Linotype" w:cs="Courier New"/>
          <w:b/>
          <w:bCs/>
          <w:iCs/>
          <w:color w:val="000000"/>
          <w:sz w:val="26"/>
          <w:szCs w:val="26"/>
        </w:rPr>
      </w:pPr>
      <w:r w:rsidRPr="005D45ED">
        <w:rPr>
          <w:rFonts w:ascii="Palatino Linotype" w:hAnsi="Palatino Linotype" w:cs="Courier New"/>
          <w:b/>
          <w:bCs/>
          <w:iCs/>
          <w:color w:val="000000"/>
          <w:sz w:val="26"/>
          <w:szCs w:val="26"/>
        </w:rPr>
        <w:t xml:space="preserve">Judge </w:t>
      </w:r>
      <w:r w:rsidR="00F510DD" w:rsidRPr="005D45ED">
        <w:rPr>
          <w:rFonts w:ascii="Palatino Linotype" w:hAnsi="Palatino Linotype" w:cs="Courier New"/>
          <w:b/>
          <w:bCs/>
          <w:iCs/>
          <w:color w:val="000000"/>
          <w:sz w:val="26"/>
          <w:szCs w:val="26"/>
        </w:rPr>
        <w:t>Tomoko Akane</w:t>
      </w:r>
    </w:p>
    <w:p w14:paraId="67051645" w14:textId="77777777" w:rsidR="00C1207E" w:rsidRPr="005D45ED" w:rsidRDefault="00C1207E" w:rsidP="00C1207E">
      <w:pPr>
        <w:jc w:val="center"/>
        <w:rPr>
          <w:rFonts w:ascii="Palatino Linotype" w:hAnsi="Palatino Linotype" w:cs="Courier New"/>
          <w:b/>
          <w:bCs/>
          <w:iCs/>
          <w:color w:val="000000"/>
          <w:sz w:val="26"/>
          <w:szCs w:val="26"/>
        </w:rPr>
      </w:pPr>
      <w:r w:rsidRPr="005D45ED">
        <w:rPr>
          <w:rFonts w:ascii="Palatino Linotype" w:hAnsi="Palatino Linotype" w:cs="Courier New"/>
          <w:b/>
          <w:bCs/>
          <w:iCs/>
          <w:color w:val="000000"/>
          <w:sz w:val="26"/>
          <w:szCs w:val="26"/>
        </w:rPr>
        <w:t>President of the International Criminal Court</w:t>
      </w:r>
    </w:p>
    <w:p w14:paraId="534CD97D" w14:textId="2EBB31A4" w:rsidR="00C1207E" w:rsidRPr="005D45ED" w:rsidRDefault="00C1207E" w:rsidP="00C1207E">
      <w:pPr>
        <w:jc w:val="center"/>
        <w:rPr>
          <w:rFonts w:ascii="Palatino Linotype" w:hAnsi="Palatino Linotype" w:cs="Courier New"/>
          <w:sz w:val="26"/>
          <w:szCs w:val="26"/>
        </w:rPr>
      </w:pPr>
    </w:p>
    <w:p w14:paraId="3C60EDDA" w14:textId="36533BDE" w:rsidR="005D45ED" w:rsidRPr="00221E0D" w:rsidRDefault="005D45ED" w:rsidP="00C1207E">
      <w:pPr>
        <w:jc w:val="center"/>
        <w:rPr>
          <w:rFonts w:ascii="Palatino Linotype" w:hAnsi="Palatino Linotype"/>
          <w:b/>
          <w:bCs/>
          <w:sz w:val="26"/>
          <w:szCs w:val="26"/>
        </w:rPr>
      </w:pPr>
      <w:r w:rsidRPr="00221E0D">
        <w:rPr>
          <w:rFonts w:ascii="Palatino Linotype" w:hAnsi="Palatino Linotype"/>
          <w:b/>
          <w:bCs/>
          <w:sz w:val="26"/>
          <w:szCs w:val="26"/>
        </w:rPr>
        <w:t>2</w:t>
      </w:r>
      <w:r w:rsidR="00AC13C1">
        <w:rPr>
          <w:rFonts w:ascii="Palatino Linotype" w:hAnsi="Palatino Linotype"/>
          <w:b/>
          <w:bCs/>
          <w:sz w:val="26"/>
          <w:szCs w:val="26"/>
        </w:rPr>
        <w:t>4</w:t>
      </w:r>
      <w:r w:rsidR="00F75ADB">
        <w:rPr>
          <w:rFonts w:ascii="Palatino Linotype" w:hAnsi="Palatino Linotype"/>
          <w:b/>
          <w:bCs/>
          <w:sz w:val="26"/>
          <w:szCs w:val="26"/>
        </w:rPr>
        <w:t>th</w:t>
      </w:r>
      <w:r w:rsidRPr="00221E0D">
        <w:rPr>
          <w:rFonts w:ascii="Palatino Linotype" w:hAnsi="Palatino Linotype"/>
          <w:b/>
          <w:bCs/>
          <w:sz w:val="26"/>
          <w:szCs w:val="26"/>
        </w:rPr>
        <w:t xml:space="preserve"> Session of the Assembly of States Parties to the Rome Statute </w:t>
      </w:r>
    </w:p>
    <w:p w14:paraId="0859DA92" w14:textId="0324A6AF" w:rsidR="005D45ED" w:rsidRPr="00221E0D" w:rsidRDefault="005D45ED" w:rsidP="00C1207E">
      <w:pPr>
        <w:jc w:val="center"/>
        <w:rPr>
          <w:rFonts w:ascii="Palatino Linotype" w:hAnsi="Palatino Linotype"/>
          <w:b/>
          <w:bCs/>
          <w:sz w:val="26"/>
          <w:szCs w:val="26"/>
        </w:rPr>
      </w:pPr>
      <w:r w:rsidRPr="00221E0D">
        <w:rPr>
          <w:rFonts w:ascii="Palatino Linotype" w:hAnsi="Palatino Linotype"/>
          <w:b/>
          <w:bCs/>
          <w:sz w:val="26"/>
          <w:szCs w:val="26"/>
        </w:rPr>
        <w:t xml:space="preserve">Remarks at Plenary Meeting on Cooperation </w:t>
      </w:r>
    </w:p>
    <w:p w14:paraId="257C6CBA" w14:textId="77777777" w:rsidR="005D45ED" w:rsidRPr="005D45ED" w:rsidRDefault="005D45ED" w:rsidP="00C1207E">
      <w:pPr>
        <w:jc w:val="center"/>
        <w:rPr>
          <w:rFonts w:ascii="Palatino Linotype" w:hAnsi="Palatino Linotype"/>
          <w:sz w:val="26"/>
          <w:szCs w:val="26"/>
        </w:rPr>
      </w:pPr>
    </w:p>
    <w:p w14:paraId="60C52618" w14:textId="77777777" w:rsidR="005D45ED" w:rsidRPr="005D45ED" w:rsidRDefault="005D45ED" w:rsidP="00C1207E">
      <w:pPr>
        <w:jc w:val="center"/>
        <w:rPr>
          <w:rFonts w:ascii="Palatino Linotype" w:hAnsi="Palatino Linotype"/>
          <w:sz w:val="26"/>
          <w:szCs w:val="26"/>
        </w:rPr>
      </w:pPr>
    </w:p>
    <w:p w14:paraId="6E0D5B59" w14:textId="3163E7EC" w:rsidR="00C1207E" w:rsidRPr="005D45ED" w:rsidRDefault="005D45ED" w:rsidP="00C1207E">
      <w:pPr>
        <w:jc w:val="center"/>
        <w:rPr>
          <w:rFonts w:ascii="Palatino Linotype" w:hAnsi="Palatino Linotype" w:cs="Courier New"/>
          <w:i/>
          <w:iCs/>
          <w:sz w:val="26"/>
          <w:szCs w:val="26"/>
        </w:rPr>
      </w:pPr>
      <w:r w:rsidRPr="005D45ED">
        <w:rPr>
          <w:rFonts w:ascii="Palatino Linotype" w:hAnsi="Palatino Linotype"/>
          <w:i/>
          <w:iCs/>
          <w:sz w:val="26"/>
          <w:szCs w:val="26"/>
        </w:rPr>
        <w:t>Check against delivery</w:t>
      </w:r>
    </w:p>
    <w:p w14:paraId="64DADFB1" w14:textId="77777777" w:rsidR="00C1207E" w:rsidRPr="005D45ED" w:rsidRDefault="00C1207E" w:rsidP="00C1207E">
      <w:pPr>
        <w:jc w:val="center"/>
        <w:rPr>
          <w:rFonts w:ascii="Palatino Linotype" w:hAnsi="Palatino Linotype" w:cs="Courier New"/>
          <w:sz w:val="26"/>
          <w:szCs w:val="26"/>
        </w:rPr>
      </w:pPr>
    </w:p>
    <w:p w14:paraId="7BD37113" w14:textId="3E04E8A3" w:rsidR="0077223D" w:rsidRPr="005D45ED" w:rsidRDefault="0077223D" w:rsidP="00C1207E">
      <w:pPr>
        <w:jc w:val="center"/>
        <w:rPr>
          <w:rFonts w:ascii="Palatino Linotype" w:hAnsi="Palatino Linotype" w:cs="Courier New"/>
          <w:sz w:val="26"/>
          <w:szCs w:val="26"/>
        </w:rPr>
      </w:pPr>
    </w:p>
    <w:p w14:paraId="5D5D8AED" w14:textId="77777777" w:rsidR="000A07E3" w:rsidRPr="005D45ED" w:rsidRDefault="000A07E3" w:rsidP="00C1207E">
      <w:pPr>
        <w:jc w:val="center"/>
        <w:rPr>
          <w:rFonts w:ascii="Palatino Linotype" w:hAnsi="Palatino Linotype" w:cs="Courier New"/>
          <w:sz w:val="26"/>
          <w:szCs w:val="26"/>
        </w:rPr>
      </w:pPr>
    </w:p>
    <w:p w14:paraId="69CA6A63" w14:textId="77777777" w:rsidR="0077223D" w:rsidRPr="005D45ED" w:rsidRDefault="0077223D" w:rsidP="00C1207E">
      <w:pPr>
        <w:jc w:val="center"/>
        <w:rPr>
          <w:rFonts w:ascii="Palatino Linotype" w:hAnsi="Palatino Linotype" w:cs="Courier New"/>
          <w:sz w:val="26"/>
          <w:szCs w:val="26"/>
        </w:rPr>
      </w:pPr>
    </w:p>
    <w:p w14:paraId="704A66B9" w14:textId="77777777" w:rsidR="00C1207E" w:rsidRPr="005D45ED" w:rsidRDefault="00C1207E" w:rsidP="00C1207E">
      <w:pPr>
        <w:jc w:val="center"/>
        <w:rPr>
          <w:rFonts w:ascii="Palatino Linotype" w:hAnsi="Palatino Linotype" w:cs="Courier New"/>
          <w:sz w:val="26"/>
          <w:szCs w:val="26"/>
        </w:rPr>
      </w:pPr>
    </w:p>
    <w:p w14:paraId="6512FBBA" w14:textId="57C452F4" w:rsidR="00C1207E" w:rsidRPr="005D45ED" w:rsidRDefault="00AC13C1" w:rsidP="00C1207E">
      <w:pPr>
        <w:jc w:val="center"/>
        <w:rPr>
          <w:rFonts w:ascii="Palatino Linotype" w:hAnsi="Palatino Linotype" w:cs="Courier New"/>
          <w:sz w:val="26"/>
          <w:szCs w:val="26"/>
        </w:rPr>
      </w:pPr>
      <w:r>
        <w:rPr>
          <w:rFonts w:ascii="Palatino Linotype" w:hAnsi="Palatino Linotype" w:cs="Courier New"/>
          <w:sz w:val="26"/>
          <w:szCs w:val="26"/>
        </w:rPr>
        <w:t>4</w:t>
      </w:r>
      <w:r w:rsidR="00C1207E" w:rsidRPr="005D45ED">
        <w:rPr>
          <w:rFonts w:ascii="Palatino Linotype" w:hAnsi="Palatino Linotype" w:cs="Courier New"/>
          <w:sz w:val="26"/>
          <w:szCs w:val="26"/>
        </w:rPr>
        <w:t xml:space="preserve"> </w:t>
      </w:r>
      <w:r w:rsidR="009A00C8" w:rsidRPr="005D45ED">
        <w:rPr>
          <w:rFonts w:ascii="Palatino Linotype" w:hAnsi="Palatino Linotype" w:cs="Courier New"/>
          <w:sz w:val="26"/>
          <w:szCs w:val="26"/>
          <w:lang w:eastAsia="ja-JP"/>
        </w:rPr>
        <w:t>Decem</w:t>
      </w:r>
      <w:r w:rsidR="00C1207E" w:rsidRPr="005D45ED">
        <w:rPr>
          <w:rFonts w:ascii="Palatino Linotype" w:hAnsi="Palatino Linotype" w:cs="Courier New"/>
          <w:sz w:val="26"/>
          <w:szCs w:val="26"/>
        </w:rPr>
        <w:t>ber 202</w:t>
      </w:r>
      <w:r>
        <w:rPr>
          <w:rFonts w:ascii="Palatino Linotype" w:hAnsi="Palatino Linotype" w:cs="Courier New"/>
          <w:sz w:val="26"/>
          <w:szCs w:val="26"/>
        </w:rPr>
        <w:t>5</w:t>
      </w:r>
      <w:r w:rsidR="00C1207E" w:rsidRPr="005D45ED">
        <w:rPr>
          <w:rFonts w:ascii="Palatino Linotype" w:hAnsi="Palatino Linotype" w:cs="Courier New"/>
          <w:sz w:val="26"/>
          <w:szCs w:val="26"/>
        </w:rPr>
        <w:t xml:space="preserve"> </w:t>
      </w:r>
    </w:p>
    <w:p w14:paraId="7C2100CA" w14:textId="18B4591B" w:rsidR="005D45ED" w:rsidRDefault="009A00C8" w:rsidP="005D45ED">
      <w:pPr>
        <w:jc w:val="center"/>
        <w:rPr>
          <w:rFonts w:ascii="Palatino Linotype" w:hAnsi="Palatino Linotype"/>
          <w:sz w:val="32"/>
          <w:szCs w:val="32"/>
          <w:lang w:val="en-GB"/>
        </w:rPr>
      </w:pPr>
      <w:r w:rsidRPr="005D45ED">
        <w:rPr>
          <w:rFonts w:ascii="Palatino Linotype" w:hAnsi="Palatino Linotype" w:cs="Courier New"/>
          <w:sz w:val="26"/>
          <w:szCs w:val="26"/>
          <w:lang w:eastAsia="ja-JP"/>
        </w:rPr>
        <w:t>The Hague</w:t>
      </w:r>
      <w:r w:rsidR="005D45ED" w:rsidRPr="005D45ED">
        <w:rPr>
          <w:rFonts w:ascii="Palatino Linotype" w:hAnsi="Palatino Linotype" w:cs="Courier New"/>
          <w:sz w:val="26"/>
          <w:szCs w:val="26"/>
          <w:lang w:eastAsia="ja-JP"/>
        </w:rPr>
        <w:t>, Netherlands</w:t>
      </w:r>
      <w:r w:rsidR="005D45ED">
        <w:rPr>
          <w:rFonts w:ascii="Palatino Linotype" w:hAnsi="Palatino Linotype"/>
          <w:sz w:val="32"/>
          <w:szCs w:val="32"/>
          <w:lang w:val="en-GB"/>
        </w:rPr>
        <w:br w:type="page"/>
      </w:r>
    </w:p>
    <w:p w14:paraId="59CB0F0A" w14:textId="77777777" w:rsidR="005D45ED" w:rsidRPr="0018284C" w:rsidRDefault="005D45ED" w:rsidP="005D45ED">
      <w:pPr>
        <w:spacing w:after="0"/>
        <w:jc w:val="both"/>
        <w:rPr>
          <w:rFonts w:ascii="Palatino Linotype" w:hAnsi="Palatino Linotype" w:cstheme="majorHAnsi"/>
          <w:sz w:val="28"/>
          <w:szCs w:val="28"/>
        </w:rPr>
      </w:pPr>
      <w:r w:rsidRPr="0018284C">
        <w:rPr>
          <w:rFonts w:ascii="Palatino Linotype" w:hAnsi="Palatino Linotype" w:cstheme="majorHAnsi"/>
          <w:sz w:val="28"/>
          <w:szCs w:val="28"/>
        </w:rPr>
        <w:lastRenderedPageBreak/>
        <w:t>Excellencies,</w:t>
      </w:r>
    </w:p>
    <w:p w14:paraId="3D1E8AAA" w14:textId="5E07A72A" w:rsidR="006C1ECF" w:rsidRPr="0018284C" w:rsidRDefault="006C1ECF" w:rsidP="005D45ED">
      <w:pPr>
        <w:spacing w:after="0"/>
        <w:jc w:val="both"/>
        <w:rPr>
          <w:rFonts w:ascii="Palatino Linotype" w:hAnsi="Palatino Linotype" w:cstheme="majorHAnsi"/>
          <w:sz w:val="28"/>
          <w:szCs w:val="28"/>
        </w:rPr>
      </w:pPr>
      <w:r w:rsidRPr="0018284C">
        <w:rPr>
          <w:rFonts w:ascii="Palatino Linotype" w:hAnsi="Palatino Linotype" w:cstheme="majorHAnsi"/>
          <w:sz w:val="28"/>
          <w:szCs w:val="28"/>
        </w:rPr>
        <w:t>Madam President,</w:t>
      </w:r>
    </w:p>
    <w:p w14:paraId="2C776AD8" w14:textId="09FCAA51" w:rsidR="005D45ED" w:rsidRPr="0018284C" w:rsidRDefault="005D45ED" w:rsidP="005D45ED">
      <w:pPr>
        <w:spacing w:after="0"/>
        <w:jc w:val="both"/>
        <w:rPr>
          <w:rFonts w:ascii="Palatino Linotype" w:hAnsi="Palatino Linotype" w:cstheme="majorHAnsi"/>
          <w:sz w:val="28"/>
          <w:szCs w:val="28"/>
        </w:rPr>
      </w:pPr>
      <w:r w:rsidRPr="0018284C">
        <w:rPr>
          <w:rFonts w:ascii="Palatino Linotype" w:hAnsi="Palatino Linotype" w:cstheme="majorHAnsi"/>
          <w:sz w:val="28"/>
          <w:szCs w:val="28"/>
        </w:rPr>
        <w:t>Ladies and gentlemen,</w:t>
      </w:r>
    </w:p>
    <w:p w14:paraId="17294CB2" w14:textId="77777777" w:rsidR="002C4C0D" w:rsidRPr="0018284C" w:rsidRDefault="002C4C0D" w:rsidP="005D45ED">
      <w:pPr>
        <w:spacing w:after="0"/>
        <w:jc w:val="both"/>
        <w:rPr>
          <w:rFonts w:ascii="Palatino Linotype" w:hAnsi="Palatino Linotype" w:cstheme="majorHAnsi"/>
          <w:sz w:val="28"/>
          <w:szCs w:val="28"/>
        </w:rPr>
      </w:pPr>
    </w:p>
    <w:p w14:paraId="06E3A901" w14:textId="3D4574BB" w:rsidR="00F75ADB" w:rsidRPr="0018284C" w:rsidRDefault="00682A8E" w:rsidP="005D45ED">
      <w:pPr>
        <w:spacing w:after="0"/>
        <w:jc w:val="both"/>
        <w:rPr>
          <w:rFonts w:ascii="Palatino Linotype" w:hAnsi="Palatino Linotype" w:cstheme="majorHAnsi"/>
          <w:sz w:val="28"/>
          <w:szCs w:val="28"/>
        </w:rPr>
      </w:pPr>
      <w:r w:rsidRPr="0018284C">
        <w:rPr>
          <w:rFonts w:ascii="Palatino Linotype" w:hAnsi="Palatino Linotype" w:cstheme="majorHAnsi"/>
          <w:sz w:val="28"/>
          <w:szCs w:val="28"/>
        </w:rPr>
        <w:t>I am pleased to address this plenary meeting on cooperation and thank the co-chairs for their invitation and their steadfast efforts as co-facilitators.</w:t>
      </w:r>
    </w:p>
    <w:p w14:paraId="16D7E737" w14:textId="77777777" w:rsidR="00682A8E" w:rsidRPr="0018284C" w:rsidRDefault="00682A8E" w:rsidP="005D45ED">
      <w:pPr>
        <w:spacing w:after="0"/>
        <w:jc w:val="both"/>
        <w:rPr>
          <w:rFonts w:ascii="Palatino Linotype" w:hAnsi="Palatino Linotype" w:cstheme="majorHAnsi"/>
          <w:sz w:val="28"/>
          <w:szCs w:val="28"/>
        </w:rPr>
      </w:pPr>
    </w:p>
    <w:p w14:paraId="5F644AEE" w14:textId="73ED3537" w:rsidR="00A34ED1" w:rsidRPr="0018284C" w:rsidRDefault="00682A8E" w:rsidP="005D45ED">
      <w:pPr>
        <w:spacing w:after="0"/>
        <w:jc w:val="both"/>
        <w:rPr>
          <w:rFonts w:ascii="Palatino Linotype" w:hAnsi="Palatino Linotype" w:cstheme="majorHAnsi"/>
          <w:sz w:val="28"/>
          <w:szCs w:val="28"/>
        </w:rPr>
      </w:pPr>
      <w:r w:rsidRPr="0018284C">
        <w:rPr>
          <w:rFonts w:ascii="Palatino Linotype" w:hAnsi="Palatino Linotype" w:cstheme="majorHAnsi"/>
          <w:sz w:val="28"/>
          <w:szCs w:val="28"/>
        </w:rPr>
        <w:t>Cooperation lies at the heart of the Court’s work. It is through the actions of States that the Court can fulfill its mandate. Traditionally, this has meant judicial cooperation: executing arrest warrants, enabling the collection of evidence, and protecting witnesses. Such cooperation remains indispensable to ensuring efficient proceedings</w:t>
      </w:r>
      <w:r w:rsidR="00DD5127" w:rsidRPr="0018284C">
        <w:rPr>
          <w:rFonts w:ascii="Palatino Linotype" w:hAnsi="Palatino Linotype" w:cstheme="majorHAnsi"/>
          <w:sz w:val="28"/>
          <w:szCs w:val="28"/>
        </w:rPr>
        <w:t>. In this regard</w:t>
      </w:r>
      <w:r w:rsidRPr="0018284C">
        <w:rPr>
          <w:rFonts w:ascii="Palatino Linotype" w:hAnsi="Palatino Linotype" w:cstheme="majorHAnsi"/>
          <w:sz w:val="28"/>
          <w:szCs w:val="28"/>
        </w:rPr>
        <w:t xml:space="preserve">, I thank </w:t>
      </w:r>
      <w:r w:rsidR="00FB38D5" w:rsidRPr="0018284C">
        <w:rPr>
          <w:rFonts w:ascii="Palatino Linotype" w:hAnsi="Palatino Linotype" w:cstheme="majorHAnsi"/>
          <w:sz w:val="28"/>
          <w:szCs w:val="28"/>
        </w:rPr>
        <w:t>Germany,</w:t>
      </w:r>
      <w:r w:rsidR="006C1ECF" w:rsidRPr="0018284C">
        <w:rPr>
          <w:rFonts w:ascii="Palatino Linotype" w:hAnsi="Palatino Linotype" w:cstheme="majorHAnsi"/>
          <w:sz w:val="28"/>
          <w:szCs w:val="28"/>
        </w:rPr>
        <w:t xml:space="preserve"> and </w:t>
      </w:r>
      <w:r w:rsidRPr="0018284C">
        <w:rPr>
          <w:rFonts w:ascii="Palatino Linotype" w:hAnsi="Palatino Linotype" w:cstheme="majorHAnsi"/>
          <w:sz w:val="28"/>
          <w:szCs w:val="28"/>
        </w:rPr>
        <w:t>all</w:t>
      </w:r>
      <w:r w:rsidR="006C1ECF" w:rsidRPr="0018284C">
        <w:rPr>
          <w:rFonts w:ascii="Palatino Linotype" w:hAnsi="Palatino Linotype" w:cstheme="majorHAnsi"/>
          <w:sz w:val="28"/>
          <w:szCs w:val="28"/>
        </w:rPr>
        <w:t xml:space="preserve"> parties</w:t>
      </w:r>
      <w:r w:rsidRPr="0018284C">
        <w:rPr>
          <w:rFonts w:ascii="Palatino Linotype" w:hAnsi="Palatino Linotype" w:cstheme="majorHAnsi"/>
          <w:sz w:val="28"/>
          <w:szCs w:val="28"/>
        </w:rPr>
        <w:t xml:space="preserve"> involved in the successful surrender that took place </w:t>
      </w:r>
      <w:r w:rsidR="00DD5127" w:rsidRPr="0018284C">
        <w:rPr>
          <w:rFonts w:ascii="Palatino Linotype" w:hAnsi="Palatino Linotype" w:cstheme="majorHAnsi"/>
          <w:sz w:val="28"/>
          <w:szCs w:val="28"/>
        </w:rPr>
        <w:t>on Monday</w:t>
      </w:r>
      <w:r w:rsidRPr="0018284C">
        <w:rPr>
          <w:rFonts w:ascii="Palatino Linotype" w:hAnsi="Palatino Linotype" w:cstheme="majorHAnsi"/>
          <w:sz w:val="28"/>
          <w:szCs w:val="28"/>
        </w:rPr>
        <w:t>.</w:t>
      </w:r>
      <w:r w:rsidR="00DD5127" w:rsidRPr="0018284C">
        <w:rPr>
          <w:rFonts w:ascii="Palatino Linotype" w:hAnsi="Palatino Linotype" w:cstheme="majorHAnsi"/>
          <w:sz w:val="28"/>
          <w:szCs w:val="28"/>
        </w:rPr>
        <w:t xml:space="preserve"> The domestic proceedings that took place prior to the surrender demonstrates Germany’s strong commitment to the rule of law. It shows how </w:t>
      </w:r>
      <w:r w:rsidR="005A2FFF" w:rsidRPr="0018284C">
        <w:rPr>
          <w:rFonts w:ascii="Palatino Linotype" w:hAnsi="Palatino Linotype" w:cstheme="majorHAnsi"/>
          <w:sz w:val="28"/>
          <w:szCs w:val="28"/>
        </w:rPr>
        <w:t>due</w:t>
      </w:r>
      <w:r w:rsidR="00DD5127" w:rsidRPr="0018284C">
        <w:rPr>
          <w:rFonts w:ascii="Palatino Linotype" w:hAnsi="Palatino Linotype" w:cstheme="majorHAnsi"/>
          <w:sz w:val="28"/>
          <w:szCs w:val="28"/>
        </w:rPr>
        <w:t xml:space="preserve"> process at all levels are essential for the overall fairness of ICC proceedings and I encourage all States to enact proper legislation that would also allow them to cooperate with the Court in similar situations.</w:t>
      </w:r>
    </w:p>
    <w:p w14:paraId="393FCA22" w14:textId="77777777" w:rsidR="00682A8E" w:rsidRPr="0018284C" w:rsidRDefault="00682A8E" w:rsidP="005D45ED">
      <w:pPr>
        <w:spacing w:after="0"/>
        <w:jc w:val="both"/>
        <w:rPr>
          <w:rFonts w:ascii="Palatino Linotype" w:hAnsi="Palatino Linotype" w:cstheme="majorHAnsi"/>
          <w:sz w:val="28"/>
          <w:szCs w:val="28"/>
        </w:rPr>
      </w:pPr>
    </w:p>
    <w:p w14:paraId="179D270A" w14:textId="64845594"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 xml:space="preserve">As the Court faces new challenges, it requires </w:t>
      </w:r>
      <w:r w:rsidR="002F2DD6" w:rsidRPr="0018284C">
        <w:rPr>
          <w:rFonts w:ascii="Palatino Linotype" w:hAnsi="Palatino Linotype" w:cstheme="majorHAnsi"/>
          <w:sz w:val="28"/>
          <w:szCs w:val="28"/>
          <w:lang w:val="en-GB"/>
        </w:rPr>
        <w:t>us to readjust the focus when we discuss cooperation,</w:t>
      </w:r>
      <w:r w:rsidR="00771412" w:rsidRPr="0018284C">
        <w:rPr>
          <w:rFonts w:ascii="Palatino Linotype" w:hAnsi="Palatino Linotype" w:cstheme="majorHAnsi"/>
          <w:sz w:val="28"/>
          <w:szCs w:val="28"/>
          <w:lang w:val="en-GB"/>
        </w:rPr>
        <w:t xml:space="preserve"> and today’s plenary is a perfect occasion to discuss where the focus should </w:t>
      </w:r>
      <w:r w:rsidR="00F173F0" w:rsidRPr="0018284C">
        <w:rPr>
          <w:rFonts w:ascii="Palatino Linotype" w:hAnsi="Palatino Linotype" w:cstheme="majorHAnsi"/>
          <w:sz w:val="28"/>
          <w:szCs w:val="28"/>
          <w:lang w:val="en-GB"/>
        </w:rPr>
        <w:t>now</w:t>
      </w:r>
      <w:r w:rsidR="00771412" w:rsidRPr="0018284C">
        <w:rPr>
          <w:rFonts w:ascii="Palatino Linotype" w:hAnsi="Palatino Linotype" w:cstheme="majorHAnsi"/>
          <w:sz w:val="28"/>
          <w:szCs w:val="28"/>
          <w:lang w:val="en-GB"/>
        </w:rPr>
        <w:t xml:space="preserve"> be.</w:t>
      </w:r>
      <w:r w:rsidRPr="0018284C">
        <w:rPr>
          <w:rFonts w:ascii="Palatino Linotype" w:hAnsi="Palatino Linotype" w:cstheme="majorHAnsi"/>
          <w:sz w:val="28"/>
          <w:szCs w:val="28"/>
          <w:lang w:val="en-GB"/>
        </w:rPr>
        <w:t xml:space="preserve"> </w:t>
      </w:r>
      <w:r w:rsidR="00E55C53" w:rsidRPr="0018284C">
        <w:rPr>
          <w:rFonts w:ascii="Palatino Linotype" w:hAnsi="Palatino Linotype" w:cstheme="majorHAnsi"/>
          <w:sz w:val="28"/>
          <w:szCs w:val="28"/>
          <w:lang w:val="en-GB"/>
        </w:rPr>
        <w:t xml:space="preserve">Indeed, cooperation is all the actions of States that </w:t>
      </w:r>
      <w:r w:rsidR="002F2DD6" w:rsidRPr="0018284C">
        <w:rPr>
          <w:rFonts w:ascii="Palatino Linotype" w:hAnsi="Palatino Linotype" w:cstheme="majorHAnsi"/>
          <w:sz w:val="28"/>
          <w:szCs w:val="28"/>
          <w:lang w:val="en-GB"/>
        </w:rPr>
        <w:t>ensure the</w:t>
      </w:r>
      <w:r w:rsidRPr="0018284C">
        <w:rPr>
          <w:rFonts w:ascii="Palatino Linotype" w:hAnsi="Palatino Linotype" w:cstheme="majorHAnsi"/>
          <w:sz w:val="28"/>
          <w:szCs w:val="28"/>
          <w:lang w:val="en-GB"/>
        </w:rPr>
        <w:t xml:space="preserve"> proper functioning</w:t>
      </w:r>
      <w:r w:rsidR="002F2DD6" w:rsidRPr="0018284C">
        <w:rPr>
          <w:rFonts w:ascii="Palatino Linotype" w:hAnsi="Palatino Linotype" w:cstheme="majorHAnsi"/>
          <w:sz w:val="28"/>
          <w:szCs w:val="28"/>
          <w:lang w:val="en-GB"/>
        </w:rPr>
        <w:t xml:space="preserve"> of the Court</w:t>
      </w:r>
      <w:r w:rsidRPr="0018284C">
        <w:rPr>
          <w:rFonts w:ascii="Palatino Linotype" w:hAnsi="Palatino Linotype" w:cstheme="majorHAnsi"/>
          <w:sz w:val="28"/>
          <w:szCs w:val="28"/>
          <w:lang w:val="en-GB"/>
        </w:rPr>
        <w:t xml:space="preserve">. Protecting the Court against coercive measures </w:t>
      </w:r>
      <w:r w:rsidR="006C1ECF" w:rsidRPr="0018284C">
        <w:rPr>
          <w:rFonts w:ascii="Palatino Linotype" w:hAnsi="Palatino Linotype" w:cstheme="majorHAnsi"/>
          <w:sz w:val="28"/>
          <w:szCs w:val="28"/>
          <w:lang w:val="en-GB"/>
        </w:rPr>
        <w:t>allows the Court to fulfil its mandate as</w:t>
      </w:r>
      <w:r w:rsidRPr="0018284C">
        <w:rPr>
          <w:rFonts w:ascii="Palatino Linotype" w:hAnsi="Palatino Linotype" w:cstheme="majorHAnsi"/>
          <w:sz w:val="28"/>
          <w:szCs w:val="28"/>
          <w:lang w:val="en-GB"/>
        </w:rPr>
        <w:t xml:space="preserve"> </w:t>
      </w:r>
      <w:r w:rsidR="006C1ECF" w:rsidRPr="0018284C">
        <w:rPr>
          <w:rFonts w:ascii="Palatino Linotype" w:hAnsi="Palatino Linotype" w:cstheme="majorHAnsi"/>
          <w:sz w:val="28"/>
          <w:szCs w:val="28"/>
          <w:lang w:val="en-GB"/>
        </w:rPr>
        <w:t>i</w:t>
      </w:r>
      <w:r w:rsidR="00F03B82" w:rsidRPr="0018284C">
        <w:rPr>
          <w:rFonts w:ascii="Palatino Linotype" w:hAnsi="Palatino Linotype" w:cstheme="majorHAnsi"/>
          <w:sz w:val="28"/>
          <w:szCs w:val="28"/>
          <w:lang w:val="en-GB"/>
        </w:rPr>
        <w:t>t</w:t>
      </w:r>
      <w:r w:rsidR="006C1ECF" w:rsidRPr="0018284C">
        <w:rPr>
          <w:rFonts w:ascii="Palatino Linotype" w:hAnsi="Palatino Linotype" w:cstheme="majorHAnsi"/>
          <w:sz w:val="28"/>
          <w:szCs w:val="28"/>
          <w:lang w:val="en-GB"/>
        </w:rPr>
        <w:t xml:space="preserve"> guarante</w:t>
      </w:r>
      <w:r w:rsidR="00F03B82" w:rsidRPr="0018284C">
        <w:rPr>
          <w:rFonts w:ascii="Palatino Linotype" w:hAnsi="Palatino Linotype" w:cstheme="majorHAnsi"/>
          <w:sz w:val="28"/>
          <w:szCs w:val="28"/>
          <w:lang w:val="en-GB"/>
        </w:rPr>
        <w:t>e</w:t>
      </w:r>
      <w:r w:rsidR="006C1ECF" w:rsidRPr="0018284C">
        <w:rPr>
          <w:rFonts w:ascii="Palatino Linotype" w:hAnsi="Palatino Linotype" w:cstheme="majorHAnsi"/>
          <w:sz w:val="28"/>
          <w:szCs w:val="28"/>
          <w:lang w:val="en-GB"/>
        </w:rPr>
        <w:t xml:space="preserve">s that </w:t>
      </w:r>
      <w:r w:rsidRPr="0018284C">
        <w:rPr>
          <w:rFonts w:ascii="Palatino Linotype" w:hAnsi="Palatino Linotype" w:cstheme="majorHAnsi"/>
          <w:sz w:val="28"/>
          <w:szCs w:val="28"/>
          <w:lang w:val="en-GB"/>
        </w:rPr>
        <w:t>the Court’s independence and effectiveness</w:t>
      </w:r>
      <w:r w:rsidR="006C1ECF" w:rsidRPr="0018284C">
        <w:rPr>
          <w:rFonts w:ascii="Palatino Linotype" w:hAnsi="Palatino Linotype" w:cstheme="majorHAnsi"/>
          <w:sz w:val="28"/>
          <w:szCs w:val="28"/>
          <w:lang w:val="en-GB"/>
        </w:rPr>
        <w:t xml:space="preserve"> are preserved</w:t>
      </w:r>
      <w:r w:rsidRPr="0018284C">
        <w:rPr>
          <w:rFonts w:ascii="Palatino Linotype" w:hAnsi="Palatino Linotype" w:cstheme="majorHAnsi"/>
          <w:sz w:val="28"/>
          <w:szCs w:val="28"/>
          <w:lang w:val="en-GB"/>
        </w:rPr>
        <w:t>.</w:t>
      </w:r>
      <w:r w:rsidR="00F03B82" w:rsidRPr="0018284C">
        <w:rPr>
          <w:rFonts w:ascii="Palatino Linotype" w:hAnsi="Palatino Linotype" w:cstheme="majorHAnsi"/>
          <w:sz w:val="28"/>
          <w:szCs w:val="28"/>
          <w:lang w:val="en-GB"/>
        </w:rPr>
        <w:t xml:space="preserve"> It is therefore a core component of cooperation.</w:t>
      </w:r>
    </w:p>
    <w:p w14:paraId="33D60D79" w14:textId="77777777" w:rsidR="00682A8E" w:rsidRPr="0018284C" w:rsidRDefault="00682A8E" w:rsidP="00682A8E">
      <w:pPr>
        <w:spacing w:after="0"/>
        <w:jc w:val="both"/>
        <w:rPr>
          <w:rFonts w:ascii="Palatino Linotype" w:hAnsi="Palatino Linotype" w:cstheme="majorHAnsi"/>
          <w:sz w:val="28"/>
          <w:szCs w:val="28"/>
          <w:lang w:val="en-GB"/>
        </w:rPr>
      </w:pPr>
    </w:p>
    <w:p w14:paraId="2B01BD2A" w14:textId="239D2BAA"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Th</w:t>
      </w:r>
      <w:r w:rsidR="00F03B82" w:rsidRPr="0018284C">
        <w:rPr>
          <w:rFonts w:ascii="Palatino Linotype" w:hAnsi="Palatino Linotype" w:cstheme="majorHAnsi"/>
          <w:sz w:val="28"/>
          <w:szCs w:val="28"/>
          <w:lang w:val="en-GB"/>
        </w:rPr>
        <w:t>e obligation to guarantee the Court’s independence</w:t>
      </w:r>
      <w:r w:rsidR="00F173F0" w:rsidRPr="0018284C">
        <w:rPr>
          <w:rFonts w:ascii="Palatino Linotype" w:hAnsi="Palatino Linotype" w:cstheme="majorHAnsi"/>
          <w:sz w:val="28"/>
          <w:szCs w:val="28"/>
          <w:lang w:val="en-GB"/>
        </w:rPr>
        <w:t xml:space="preserve"> is</w:t>
      </w:r>
      <w:r w:rsidRPr="0018284C">
        <w:rPr>
          <w:rFonts w:ascii="Palatino Linotype" w:hAnsi="Palatino Linotype" w:cstheme="majorHAnsi"/>
          <w:sz w:val="28"/>
          <w:szCs w:val="28"/>
          <w:lang w:val="en-GB"/>
        </w:rPr>
        <w:t xml:space="preserve"> rooted in Article 48 of the Rome Statute, and is reinforced, where ratified, by the </w:t>
      </w:r>
      <w:r w:rsidRPr="0018284C">
        <w:rPr>
          <w:rFonts w:ascii="Palatino Linotype" w:hAnsi="Palatino Linotype" w:cstheme="majorHAnsi"/>
          <w:sz w:val="28"/>
          <w:szCs w:val="28"/>
          <w:lang w:val="en-GB"/>
        </w:rPr>
        <w:lastRenderedPageBreak/>
        <w:t>Agreement on the Privileges and Immunities of the ICC (APIC), as well as by the Headquarters Agreement with the host State.</w:t>
      </w:r>
    </w:p>
    <w:p w14:paraId="1CB28D90" w14:textId="77777777" w:rsidR="00682A8E" w:rsidRPr="0018284C" w:rsidRDefault="00682A8E" w:rsidP="00682A8E">
      <w:pPr>
        <w:spacing w:after="0"/>
        <w:jc w:val="both"/>
        <w:rPr>
          <w:rFonts w:ascii="Palatino Linotype" w:hAnsi="Palatino Linotype" w:cstheme="majorHAnsi"/>
          <w:sz w:val="28"/>
          <w:szCs w:val="28"/>
          <w:lang w:val="en-GB"/>
        </w:rPr>
      </w:pPr>
    </w:p>
    <w:p w14:paraId="74AD1F73" w14:textId="4D7B6884" w:rsidR="00F03B82" w:rsidRPr="0018284C" w:rsidRDefault="00F03B82" w:rsidP="00F03B82">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Article 48 specifies in particular that privileges and immunities extend to judges, the Prosecutor and his deputies, the Registrar and Court staff, as well as any person required at the seat of the Court. The APIC further extends these protections across the territories of all ratifying States. As some elected officials, including myself, are subject to arrest warrants because of their work, guaranteeing privileges and immunities, is crucial.</w:t>
      </w:r>
    </w:p>
    <w:p w14:paraId="0500D9E2" w14:textId="77777777" w:rsidR="00F03B82" w:rsidRPr="0018284C" w:rsidRDefault="00F03B82" w:rsidP="00682A8E">
      <w:pPr>
        <w:spacing w:after="0"/>
        <w:jc w:val="both"/>
        <w:rPr>
          <w:rFonts w:ascii="Palatino Linotype" w:hAnsi="Palatino Linotype" w:cstheme="majorHAnsi"/>
          <w:sz w:val="28"/>
          <w:szCs w:val="28"/>
          <w:lang w:val="en-GB"/>
        </w:rPr>
      </w:pPr>
    </w:p>
    <w:p w14:paraId="7CC2D031" w14:textId="12656FDD" w:rsidR="00682A8E" w:rsidRPr="0018284C" w:rsidRDefault="00F03B82"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Furthermore, i</w:t>
      </w:r>
      <w:r w:rsidR="00682A8E" w:rsidRPr="0018284C">
        <w:rPr>
          <w:rFonts w:ascii="Palatino Linotype" w:hAnsi="Palatino Linotype" w:cstheme="majorHAnsi"/>
          <w:sz w:val="28"/>
          <w:szCs w:val="28"/>
          <w:lang w:val="en-GB"/>
        </w:rPr>
        <w:t>n the context of coercive measures and their potential financial implications, the APIC provides crucial protections, including safeguarding the Court’s funds, property and assets from interference, search or seizure, and ensuring the inviolability of its documents and communications.</w:t>
      </w:r>
    </w:p>
    <w:p w14:paraId="1A7B36AB" w14:textId="77777777" w:rsidR="00682A8E" w:rsidRPr="0018284C" w:rsidRDefault="00682A8E" w:rsidP="00682A8E">
      <w:pPr>
        <w:spacing w:after="0"/>
        <w:jc w:val="both"/>
        <w:rPr>
          <w:rFonts w:ascii="Palatino Linotype" w:hAnsi="Palatino Linotype" w:cstheme="majorHAnsi"/>
          <w:sz w:val="28"/>
          <w:szCs w:val="28"/>
          <w:lang w:val="en-GB"/>
        </w:rPr>
      </w:pPr>
    </w:p>
    <w:p w14:paraId="005BFA9F" w14:textId="77777777" w:rsidR="00682A8E" w:rsidRPr="0018284C" w:rsidRDefault="00682A8E" w:rsidP="00682A8E">
      <w:pPr>
        <w:spacing w:after="0"/>
        <w:jc w:val="both"/>
        <w:rPr>
          <w:rFonts w:ascii="Palatino Linotype" w:hAnsi="Palatino Linotype" w:cstheme="majorHAnsi"/>
          <w:sz w:val="28"/>
          <w:szCs w:val="28"/>
          <w:lang w:val="en-GB"/>
        </w:rPr>
      </w:pPr>
    </w:p>
    <w:p w14:paraId="6E4B6897" w14:textId="77777777"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As pressures on the Court and its personnel increase, these guarantees are essential for ensuring that the Court can operate independently and effectively. The APIC is critical to the Court’s ability to deliver justice for victims of the gravest crimes.</w:t>
      </w:r>
    </w:p>
    <w:p w14:paraId="179BDCF1" w14:textId="77777777" w:rsidR="00682A8E" w:rsidRPr="0018284C" w:rsidRDefault="00682A8E" w:rsidP="00682A8E">
      <w:pPr>
        <w:spacing w:after="0"/>
        <w:jc w:val="both"/>
        <w:rPr>
          <w:rFonts w:ascii="Palatino Linotype" w:hAnsi="Palatino Linotype" w:cstheme="majorHAnsi"/>
          <w:sz w:val="28"/>
          <w:szCs w:val="28"/>
          <w:lang w:val="en-GB"/>
        </w:rPr>
      </w:pPr>
    </w:p>
    <w:p w14:paraId="7BEBAC92" w14:textId="77777777"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 xml:space="preserve">I therefore reiterate my call for all States to ratify and implement the APIC. </w:t>
      </w:r>
    </w:p>
    <w:p w14:paraId="415EEE95" w14:textId="77777777" w:rsidR="00682A8E" w:rsidRPr="0018284C" w:rsidRDefault="00682A8E" w:rsidP="00682A8E">
      <w:pPr>
        <w:spacing w:after="0"/>
        <w:jc w:val="both"/>
        <w:rPr>
          <w:rFonts w:ascii="Palatino Linotype" w:hAnsi="Palatino Linotype" w:cstheme="majorHAnsi"/>
          <w:sz w:val="28"/>
          <w:szCs w:val="28"/>
          <w:lang w:val="en-GB"/>
        </w:rPr>
      </w:pPr>
    </w:p>
    <w:p w14:paraId="5DF84F81" w14:textId="190AF94E"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 xml:space="preserve">Since the last ASP, </w:t>
      </w:r>
      <w:r w:rsidRPr="0018284C">
        <w:rPr>
          <w:rFonts w:ascii="Palatino Linotype" w:hAnsi="Palatino Linotype" w:cstheme="majorHAnsi"/>
          <w:sz w:val="28"/>
          <w:szCs w:val="28"/>
        </w:rPr>
        <w:t xml:space="preserve">one State acceded to the </w:t>
      </w:r>
      <w:r w:rsidR="00FB38D5" w:rsidRPr="0018284C">
        <w:rPr>
          <w:rFonts w:ascii="Palatino Linotype" w:hAnsi="Palatino Linotype" w:cstheme="majorHAnsi"/>
          <w:sz w:val="28"/>
          <w:szCs w:val="28"/>
        </w:rPr>
        <w:t>APIC,</w:t>
      </w:r>
      <w:r w:rsidRPr="0018284C">
        <w:rPr>
          <w:rFonts w:ascii="Palatino Linotype" w:hAnsi="Palatino Linotype" w:cstheme="majorHAnsi"/>
          <w:sz w:val="28"/>
          <w:szCs w:val="28"/>
        </w:rPr>
        <w:t xml:space="preserve"> and I would like to congratulate Timor-Leste for taking this important step.</w:t>
      </w:r>
      <w:r w:rsidRPr="0018284C">
        <w:rPr>
          <w:rFonts w:ascii="Palatino Linotype" w:hAnsi="Palatino Linotype" w:cstheme="majorHAnsi"/>
          <w:sz w:val="28"/>
          <w:szCs w:val="28"/>
          <w:lang w:val="en-GB"/>
        </w:rPr>
        <w:t xml:space="preserve"> Yet 45 States Parties have not done so. I encourage them to begin the process, as the APIC provides vital safeguards for the Court’s independence and the integrity of its proceedings.</w:t>
      </w:r>
    </w:p>
    <w:p w14:paraId="06B549A0" w14:textId="77777777" w:rsidR="00682A8E" w:rsidRPr="0018284C" w:rsidRDefault="00682A8E" w:rsidP="00682A8E">
      <w:pPr>
        <w:spacing w:after="0"/>
        <w:jc w:val="both"/>
        <w:rPr>
          <w:rFonts w:ascii="Palatino Linotype" w:hAnsi="Palatino Linotype" w:cstheme="majorHAnsi"/>
          <w:sz w:val="28"/>
          <w:szCs w:val="28"/>
          <w:lang w:val="en-GB"/>
        </w:rPr>
      </w:pPr>
    </w:p>
    <w:p w14:paraId="1A0F0260" w14:textId="347EFCCE"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Excellencies,</w:t>
      </w:r>
      <w:r w:rsidRPr="0018284C">
        <w:rPr>
          <w:rFonts w:ascii="Palatino Linotype" w:hAnsi="Palatino Linotype" w:cstheme="majorHAnsi"/>
          <w:sz w:val="28"/>
          <w:szCs w:val="28"/>
          <w:lang w:val="en-GB"/>
        </w:rPr>
        <w:br/>
        <w:t>Ladies and gentlemen,</w:t>
      </w:r>
    </w:p>
    <w:p w14:paraId="7A157E7D" w14:textId="77777777" w:rsidR="00682A8E" w:rsidRPr="0018284C" w:rsidRDefault="00682A8E" w:rsidP="00682A8E">
      <w:pPr>
        <w:spacing w:after="0"/>
        <w:jc w:val="both"/>
        <w:rPr>
          <w:rFonts w:ascii="Palatino Linotype" w:hAnsi="Palatino Linotype" w:cstheme="majorHAnsi"/>
          <w:sz w:val="28"/>
          <w:szCs w:val="28"/>
          <w:lang w:val="en-GB"/>
        </w:rPr>
      </w:pPr>
    </w:p>
    <w:p w14:paraId="5220916D" w14:textId="53A98708" w:rsidR="00682A8E" w:rsidRPr="0018284C" w:rsidRDefault="00682A8E" w:rsidP="00682A8E">
      <w:pPr>
        <w:spacing w:after="0"/>
        <w:jc w:val="both"/>
        <w:rPr>
          <w:rFonts w:ascii="Palatino Linotype" w:hAnsi="Palatino Linotype" w:cstheme="majorHAnsi"/>
          <w:sz w:val="28"/>
          <w:szCs w:val="28"/>
        </w:rPr>
      </w:pPr>
      <w:r w:rsidRPr="0018284C">
        <w:rPr>
          <w:rFonts w:ascii="Palatino Linotype" w:hAnsi="Palatino Linotype" w:cstheme="majorHAnsi"/>
          <w:sz w:val="28"/>
          <w:szCs w:val="28"/>
        </w:rPr>
        <w:lastRenderedPageBreak/>
        <w:t xml:space="preserve">Political and diplomatic support </w:t>
      </w:r>
      <w:r w:rsidR="00F173F0" w:rsidRPr="0018284C">
        <w:rPr>
          <w:rFonts w:ascii="Palatino Linotype" w:hAnsi="Palatino Linotype" w:cstheme="majorHAnsi"/>
          <w:sz w:val="28"/>
          <w:szCs w:val="28"/>
        </w:rPr>
        <w:t xml:space="preserve">is </w:t>
      </w:r>
      <w:r w:rsidRPr="0018284C">
        <w:rPr>
          <w:rFonts w:ascii="Palatino Linotype" w:hAnsi="Palatino Linotype" w:cstheme="majorHAnsi"/>
          <w:sz w:val="28"/>
          <w:szCs w:val="28"/>
        </w:rPr>
        <w:t xml:space="preserve">also a way to protect the Court and to guarantee </w:t>
      </w:r>
      <w:r w:rsidR="00F173F0" w:rsidRPr="0018284C">
        <w:rPr>
          <w:rFonts w:ascii="Palatino Linotype" w:hAnsi="Palatino Linotype" w:cstheme="majorHAnsi"/>
          <w:sz w:val="28"/>
          <w:szCs w:val="28"/>
        </w:rPr>
        <w:t xml:space="preserve">that </w:t>
      </w:r>
      <w:r w:rsidRPr="0018284C">
        <w:rPr>
          <w:rFonts w:ascii="Palatino Linotype" w:hAnsi="Palatino Linotype" w:cstheme="majorHAnsi"/>
          <w:sz w:val="28"/>
          <w:szCs w:val="28"/>
        </w:rPr>
        <w:t xml:space="preserve">it can deliver on its mandate. </w:t>
      </w:r>
      <w:r w:rsidR="00771412" w:rsidRPr="0018284C">
        <w:rPr>
          <w:rFonts w:ascii="Palatino Linotype" w:hAnsi="Palatino Linotype" w:cstheme="majorHAnsi"/>
          <w:sz w:val="28"/>
          <w:szCs w:val="28"/>
        </w:rPr>
        <w:t>When States Parties are united in defense of the Court, through joint statements for instance, but also behind closed doors, they also reinforce the Court</w:t>
      </w:r>
      <w:r w:rsidR="00F173F0" w:rsidRPr="0018284C">
        <w:rPr>
          <w:rFonts w:ascii="Palatino Linotype" w:hAnsi="Palatino Linotype" w:cstheme="majorHAnsi"/>
          <w:sz w:val="28"/>
          <w:szCs w:val="28"/>
        </w:rPr>
        <w:t xml:space="preserve"> and their commitment to the Court’s mandate</w:t>
      </w:r>
      <w:r w:rsidR="00771412" w:rsidRPr="0018284C">
        <w:rPr>
          <w:rFonts w:ascii="Palatino Linotype" w:hAnsi="Palatino Linotype" w:cstheme="majorHAnsi"/>
          <w:sz w:val="28"/>
          <w:szCs w:val="28"/>
        </w:rPr>
        <w:t xml:space="preserve">. </w:t>
      </w:r>
      <w:r w:rsidRPr="0018284C">
        <w:rPr>
          <w:rFonts w:ascii="Palatino Linotype" w:hAnsi="Palatino Linotype" w:cstheme="majorHAnsi"/>
          <w:sz w:val="28"/>
          <w:szCs w:val="28"/>
        </w:rPr>
        <w:t>I am very grateful for your leadership in that regard Madam President, and for the support from this Assembly, from the States Parties; and for the commitment from all the organisations and actors who support the work of the Court.</w:t>
      </w:r>
    </w:p>
    <w:p w14:paraId="47DCB757" w14:textId="77777777" w:rsidR="00682A8E" w:rsidRPr="0018284C" w:rsidRDefault="00682A8E" w:rsidP="00682A8E">
      <w:pPr>
        <w:spacing w:after="0"/>
        <w:jc w:val="both"/>
        <w:rPr>
          <w:rFonts w:ascii="Palatino Linotype" w:hAnsi="Palatino Linotype" w:cstheme="majorHAnsi"/>
          <w:sz w:val="28"/>
          <w:szCs w:val="28"/>
          <w:lang w:val="en-GB"/>
        </w:rPr>
      </w:pPr>
    </w:p>
    <w:p w14:paraId="015DFF89" w14:textId="64D81EC0" w:rsidR="00682A8E" w:rsidRPr="0018284C" w:rsidRDefault="00682A8E" w:rsidP="00682A8E">
      <w:pPr>
        <w:spacing w:after="0"/>
        <w:jc w:val="both"/>
        <w:rPr>
          <w:rFonts w:ascii="Palatino Linotype" w:hAnsi="Palatino Linotype" w:cstheme="majorHAnsi"/>
          <w:sz w:val="28"/>
          <w:szCs w:val="28"/>
          <w:lang w:val="en-GB"/>
        </w:rPr>
      </w:pPr>
      <w:r w:rsidRPr="0018284C">
        <w:rPr>
          <w:rFonts w:ascii="Palatino Linotype" w:hAnsi="Palatino Linotype" w:cstheme="majorHAnsi"/>
          <w:sz w:val="28"/>
          <w:szCs w:val="28"/>
          <w:lang w:val="en-GB"/>
        </w:rPr>
        <w:t>Thank you for your attention.</w:t>
      </w:r>
    </w:p>
    <w:p w14:paraId="5D5A397C" w14:textId="6DAD4374" w:rsidR="00672CEC" w:rsidRPr="00F801BC" w:rsidRDefault="00672CEC" w:rsidP="00682A8E">
      <w:pPr>
        <w:spacing w:after="0"/>
        <w:jc w:val="both"/>
        <w:rPr>
          <w:rFonts w:ascii="Palatino Linotype" w:hAnsi="Palatino Linotype"/>
          <w:sz w:val="36"/>
          <w:szCs w:val="36"/>
          <w:lang w:val="en-GB"/>
        </w:rPr>
      </w:pPr>
    </w:p>
    <w:sectPr w:rsidR="00672CEC" w:rsidRPr="00F801BC" w:rsidSect="000A07E3">
      <w:headerReference w:type="even" r:id="rId8"/>
      <w:headerReference w:type="default" r:id="rId9"/>
      <w:footerReference w:type="default" r:id="rId10"/>
      <w:headerReference w:type="first" r:id="rId11"/>
      <w:pgSz w:w="11906" w:h="16838"/>
      <w:pgMar w:top="1264" w:right="1440" w:bottom="843" w:left="1440" w:header="708" w:footer="5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7B1D" w14:textId="77777777" w:rsidR="001E3EC0" w:rsidRDefault="001E3EC0" w:rsidP="00D563E9">
      <w:pPr>
        <w:spacing w:after="0" w:line="240" w:lineRule="auto"/>
      </w:pPr>
      <w:r>
        <w:separator/>
      </w:r>
    </w:p>
  </w:endnote>
  <w:endnote w:type="continuationSeparator" w:id="0">
    <w:p w14:paraId="730D83A6" w14:textId="77777777" w:rsidR="001E3EC0" w:rsidRDefault="001E3EC0" w:rsidP="00D56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613399"/>
      <w:docPartObj>
        <w:docPartGallery w:val="Page Numbers (Bottom of Page)"/>
        <w:docPartUnique/>
      </w:docPartObj>
    </w:sdtPr>
    <w:sdtEndPr>
      <w:rPr>
        <w:rFonts w:ascii="Palatino Linotype" w:hAnsi="Palatino Linotype"/>
      </w:rPr>
    </w:sdtEndPr>
    <w:sdtContent>
      <w:p w14:paraId="797EDD73" w14:textId="3466F4F3" w:rsidR="00892BB0" w:rsidRDefault="00892BB0">
        <w:pPr>
          <w:pStyle w:val="Footer"/>
          <w:jc w:val="right"/>
        </w:pPr>
        <w:r w:rsidRPr="000A07E3">
          <w:rPr>
            <w:rFonts w:ascii="Palatino Linotype" w:hAnsi="Palatino Linotype"/>
            <w:sz w:val="24"/>
            <w:szCs w:val="24"/>
          </w:rPr>
          <w:fldChar w:fldCharType="begin"/>
        </w:r>
        <w:r w:rsidRPr="000A07E3">
          <w:rPr>
            <w:rFonts w:ascii="Palatino Linotype" w:hAnsi="Palatino Linotype"/>
            <w:sz w:val="24"/>
            <w:szCs w:val="24"/>
          </w:rPr>
          <w:instrText>PAGE   \* MERGEFORMAT</w:instrText>
        </w:r>
        <w:r w:rsidRPr="000A07E3">
          <w:rPr>
            <w:rFonts w:ascii="Palatino Linotype" w:hAnsi="Palatino Linotype"/>
            <w:sz w:val="24"/>
            <w:szCs w:val="24"/>
          </w:rPr>
          <w:fldChar w:fldCharType="separate"/>
        </w:r>
        <w:r w:rsidRPr="000A07E3">
          <w:rPr>
            <w:rFonts w:ascii="Palatino Linotype" w:hAnsi="Palatino Linotype"/>
            <w:sz w:val="24"/>
            <w:szCs w:val="24"/>
            <w:lang w:val="en-GB"/>
          </w:rPr>
          <w:t>2</w:t>
        </w:r>
        <w:r w:rsidRPr="000A07E3">
          <w:rPr>
            <w:rFonts w:ascii="Palatino Linotype" w:hAnsi="Palatino Linotype"/>
            <w:sz w:val="24"/>
            <w:szCs w:val="24"/>
          </w:rPr>
          <w:fldChar w:fldCharType="end"/>
        </w:r>
      </w:p>
    </w:sdtContent>
  </w:sdt>
  <w:p w14:paraId="1A96A397" w14:textId="77777777" w:rsidR="00892BB0" w:rsidRDefault="00892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D4777" w14:textId="77777777" w:rsidR="001E3EC0" w:rsidRDefault="001E3EC0" w:rsidP="00D563E9">
      <w:pPr>
        <w:spacing w:after="0" w:line="240" w:lineRule="auto"/>
      </w:pPr>
      <w:r>
        <w:separator/>
      </w:r>
    </w:p>
  </w:footnote>
  <w:footnote w:type="continuationSeparator" w:id="0">
    <w:p w14:paraId="59F520C2" w14:textId="77777777" w:rsidR="001E3EC0" w:rsidRDefault="001E3EC0" w:rsidP="00D56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55E4" w14:textId="420527E4" w:rsidR="00D563E9" w:rsidRDefault="00D563E9">
    <w:pPr>
      <w:pStyle w:val="Header"/>
    </w:pPr>
    <w:r>
      <w:rPr>
        <w:noProof/>
      </w:rPr>
      <mc:AlternateContent>
        <mc:Choice Requires="wps">
          <w:drawing>
            <wp:anchor distT="0" distB="0" distL="0" distR="0" simplePos="0" relativeHeight="251656704" behindDoc="0" locked="0" layoutInCell="1" allowOverlap="1" wp14:anchorId="5AD83D61" wp14:editId="516C52EB">
              <wp:simplePos x="635" y="635"/>
              <wp:positionH relativeFrom="page">
                <wp:align>center</wp:align>
              </wp:positionH>
              <wp:positionV relativeFrom="page">
                <wp:align>top</wp:align>
              </wp:positionV>
              <wp:extent cx="443865" cy="443865"/>
              <wp:effectExtent l="0" t="0" r="2540" b="17145"/>
              <wp:wrapNone/>
              <wp:docPr id="2" name="Text Box 2"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22170C" w14:textId="55DAFAD4" w:rsidR="00D563E9" w:rsidRPr="00D563E9" w:rsidRDefault="00D563E9" w:rsidP="00D563E9">
                          <w:pPr>
                            <w:spacing w:after="0"/>
                            <w:rPr>
                              <w:rFonts w:ascii="Calibri" w:eastAsia="Calibri" w:hAnsi="Calibri" w:cs="Calibri"/>
                              <w:noProof/>
                              <w:color w:val="000000"/>
                              <w:sz w:val="28"/>
                              <w:szCs w:val="28"/>
                            </w:rPr>
                          </w:pPr>
                          <w:r w:rsidRPr="00D563E9">
                            <w:rPr>
                              <w:rFonts w:ascii="Calibri" w:eastAsia="Calibri" w:hAnsi="Calibri" w:cs="Calibri"/>
                              <w:noProof/>
                              <w:color w:val="000000"/>
                              <w:sz w:val="28"/>
                              <w:szCs w:val="28"/>
                            </w:rPr>
                            <w:t>[ICC]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AD83D61" id="_x0000_t202" coordsize="21600,21600" o:spt="202" path="m,l,21600r21600,l21600,xe">
              <v:stroke joinstyle="miter"/>
              <v:path gradientshapeok="t" o:connecttype="rect"/>
            </v:shapetype>
            <v:shape id="Text Box 2" o:spid="_x0000_s1026" type="#_x0000_t202" alt="[ICC] RESTRICTED" style="position:absolute;margin-left:0;margin-top:0;width:34.95pt;height:34.9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B22170C" w14:textId="55DAFAD4" w:rsidR="00D563E9" w:rsidRPr="00D563E9" w:rsidRDefault="00D563E9" w:rsidP="00D563E9">
                    <w:pPr>
                      <w:spacing w:after="0"/>
                      <w:rPr>
                        <w:rFonts w:ascii="Calibri" w:eastAsia="Calibri" w:hAnsi="Calibri" w:cs="Calibri"/>
                        <w:noProof/>
                        <w:color w:val="000000"/>
                        <w:sz w:val="28"/>
                        <w:szCs w:val="28"/>
                      </w:rPr>
                    </w:pPr>
                    <w:r w:rsidRPr="00D563E9">
                      <w:rPr>
                        <w:rFonts w:ascii="Calibri" w:eastAsia="Calibri" w:hAnsi="Calibri" w:cs="Calibri"/>
                        <w:noProof/>
                        <w:color w:val="000000"/>
                        <w:sz w:val="28"/>
                        <w:szCs w:val="28"/>
                      </w:rPr>
                      <w:t>[ICC]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6CF1" w14:textId="23527B25" w:rsidR="00D563E9" w:rsidRDefault="00D563E9">
    <w:pPr>
      <w:pStyle w:val="Header"/>
    </w:pPr>
    <w:r>
      <w:rPr>
        <w:noProof/>
      </w:rPr>
      <mc:AlternateContent>
        <mc:Choice Requires="wps">
          <w:drawing>
            <wp:anchor distT="0" distB="0" distL="0" distR="0" simplePos="0" relativeHeight="251657728" behindDoc="0" locked="0" layoutInCell="1" allowOverlap="1" wp14:anchorId="0A75EE9A" wp14:editId="67384561">
              <wp:simplePos x="914400" y="447675"/>
              <wp:positionH relativeFrom="page">
                <wp:align>center</wp:align>
              </wp:positionH>
              <wp:positionV relativeFrom="page">
                <wp:align>top</wp:align>
              </wp:positionV>
              <wp:extent cx="443865" cy="443865"/>
              <wp:effectExtent l="0" t="0" r="2540" b="17145"/>
              <wp:wrapNone/>
              <wp:docPr id="3" name="Text Box 3"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700D2E" w14:textId="4D1A01FF" w:rsidR="00D563E9" w:rsidRPr="00B860CD" w:rsidRDefault="00D563E9" w:rsidP="00D563E9">
                          <w:pPr>
                            <w:spacing w:after="0"/>
                            <w:rPr>
                              <w:rFonts w:ascii="Calibri" w:eastAsia="Calibri" w:hAnsi="Calibri" w:cs="Calibri"/>
                              <w:noProof/>
                              <w:color w:val="000000"/>
                              <w:sz w:val="28"/>
                              <w:szCs w:val="28"/>
                              <w:lang w:val="fi-FI"/>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0A75EE9A" id="_x0000_t202" coordsize="21600,21600" o:spt="202" path="m,l,21600r21600,l21600,xe">
              <v:stroke joinstyle="miter"/>
              <v:path gradientshapeok="t" o:connecttype="rect"/>
            </v:shapetype>
            <v:shape id="Text Box 3" o:spid="_x0000_s1027" type="#_x0000_t202" alt="[ICC] RESTRICTED" style="position:absolute;margin-left:0;margin-top:0;width:34.95pt;height:34.9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9700D2E" w14:textId="4D1A01FF" w:rsidR="00D563E9" w:rsidRPr="00B860CD" w:rsidRDefault="00D563E9" w:rsidP="00D563E9">
                    <w:pPr>
                      <w:spacing w:after="0"/>
                      <w:rPr>
                        <w:rFonts w:ascii="Calibri" w:eastAsia="Calibri" w:hAnsi="Calibri" w:cs="Calibri"/>
                        <w:noProof/>
                        <w:color w:val="000000"/>
                        <w:sz w:val="28"/>
                        <w:szCs w:val="28"/>
                        <w:lang w:val="fi-FI"/>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4BC89" w14:textId="68EB34B1" w:rsidR="00D563E9" w:rsidRDefault="00C1207E">
    <w:pPr>
      <w:pStyle w:val="Header"/>
    </w:pPr>
    <w:r>
      <w:rPr>
        <w:noProof/>
        <w:lang w:eastAsia="en-GB"/>
      </w:rPr>
      <w:drawing>
        <wp:anchor distT="0" distB="0" distL="114300" distR="114300" simplePos="0" relativeHeight="251658752" behindDoc="0" locked="0" layoutInCell="1" allowOverlap="1" wp14:anchorId="1674EDB3" wp14:editId="77B9DA77">
          <wp:simplePos x="0" y="0"/>
          <wp:positionH relativeFrom="column">
            <wp:posOffset>-389255</wp:posOffset>
          </wp:positionH>
          <wp:positionV relativeFrom="paragraph">
            <wp:posOffset>39149</wp:posOffset>
          </wp:positionV>
          <wp:extent cx="6629400" cy="1258570"/>
          <wp:effectExtent l="0" t="0" r="0" b="0"/>
          <wp:wrapSquare wrapText="bothSides"/>
          <wp:docPr id="5" name="Picture 5" descr="Description: newHeaderPresid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escription: newHeaderPresiden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1258570"/>
                  </a:xfrm>
                  <a:prstGeom prst="rect">
                    <a:avLst/>
                  </a:prstGeom>
                  <a:noFill/>
                  <a:ln>
                    <a:noFill/>
                  </a:ln>
                </pic:spPr>
              </pic:pic>
            </a:graphicData>
          </a:graphic>
          <wp14:sizeRelH relativeFrom="page">
            <wp14:pctWidth>0</wp14:pctWidth>
          </wp14:sizeRelH>
          <wp14:sizeRelV relativeFrom="page">
            <wp14:pctHeight>0</wp14:pctHeight>
          </wp14:sizeRelV>
        </wp:anchor>
      </w:drawing>
    </w:r>
    <w:r w:rsidR="00D563E9">
      <w:rPr>
        <w:noProof/>
      </w:rPr>
      <mc:AlternateContent>
        <mc:Choice Requires="wps">
          <w:drawing>
            <wp:anchor distT="0" distB="0" distL="0" distR="0" simplePos="0" relativeHeight="251655680" behindDoc="0" locked="0" layoutInCell="1" allowOverlap="1" wp14:anchorId="25891FCB" wp14:editId="7FB9BAFF">
              <wp:simplePos x="635" y="635"/>
              <wp:positionH relativeFrom="page">
                <wp:align>center</wp:align>
              </wp:positionH>
              <wp:positionV relativeFrom="page">
                <wp:align>top</wp:align>
              </wp:positionV>
              <wp:extent cx="443865" cy="443865"/>
              <wp:effectExtent l="0" t="0" r="2540" b="17145"/>
              <wp:wrapNone/>
              <wp:docPr id="1" name="Text Box 1" descr="[ICC]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BE3875" w14:textId="7F0FAA7F" w:rsidR="00D563E9" w:rsidRPr="0065230A" w:rsidRDefault="00D563E9" w:rsidP="00D563E9">
                          <w:pPr>
                            <w:spacing w:after="0"/>
                            <w:rPr>
                              <w:rFonts w:ascii="Calibri" w:eastAsia="Calibri" w:hAnsi="Calibri" w:cs="Calibri"/>
                              <w:noProof/>
                              <w:color w:val="000000"/>
                              <w:sz w:val="28"/>
                              <w:szCs w:val="28"/>
                              <w:lang w:val="en-GB"/>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25891FCB" id="_x0000_t202" coordsize="21600,21600" o:spt="202" path="m,l,21600r21600,l21600,xe">
              <v:stroke joinstyle="miter"/>
              <v:path gradientshapeok="t" o:connecttype="rect"/>
            </v:shapetype>
            <v:shape id="Text Box 1" o:spid="_x0000_s1028" type="#_x0000_t202" alt="[ICC] RESTRICTED" style="position:absolute;margin-left:0;margin-top:0;width:34.95pt;height:34.9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1BE3875" w14:textId="7F0FAA7F" w:rsidR="00D563E9" w:rsidRPr="0065230A" w:rsidRDefault="00D563E9" w:rsidP="00D563E9">
                    <w:pPr>
                      <w:spacing w:after="0"/>
                      <w:rPr>
                        <w:rFonts w:ascii="Calibri" w:eastAsia="Calibri" w:hAnsi="Calibri" w:cs="Calibri"/>
                        <w:noProof/>
                        <w:color w:val="000000"/>
                        <w:sz w:val="28"/>
                        <w:szCs w:val="28"/>
                        <w:lang w:val="en-G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054FB"/>
    <w:multiLevelType w:val="hybridMultilevel"/>
    <w:tmpl w:val="21EEFEC6"/>
    <w:lvl w:ilvl="0" w:tplc="642EA57C">
      <w:start w:val="30"/>
      <w:numFmt w:val="bullet"/>
      <w:lvlText w:val="-"/>
      <w:lvlJc w:val="left"/>
      <w:pPr>
        <w:ind w:left="720" w:hanging="360"/>
      </w:pPr>
      <w:rPr>
        <w:rFonts w:ascii="Palatino Linotype" w:eastAsiaTheme="minorHAnsi" w:hAnsi="Palatino Lino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205B70"/>
    <w:multiLevelType w:val="hybridMultilevel"/>
    <w:tmpl w:val="6204A106"/>
    <w:lvl w:ilvl="0" w:tplc="0E2CFA72">
      <w:start w:val="1"/>
      <w:numFmt w:val="lowerRoman"/>
      <w:lvlText w:val="%1)"/>
      <w:lvlJc w:val="right"/>
      <w:pPr>
        <w:ind w:left="1020" w:hanging="360"/>
      </w:pPr>
    </w:lvl>
    <w:lvl w:ilvl="1" w:tplc="A522A9F6">
      <w:start w:val="1"/>
      <w:numFmt w:val="lowerRoman"/>
      <w:lvlText w:val="%2)"/>
      <w:lvlJc w:val="right"/>
      <w:pPr>
        <w:ind w:left="1020" w:hanging="360"/>
      </w:pPr>
    </w:lvl>
    <w:lvl w:ilvl="2" w:tplc="E4FAC816">
      <w:start w:val="1"/>
      <w:numFmt w:val="lowerRoman"/>
      <w:lvlText w:val="%3)"/>
      <w:lvlJc w:val="right"/>
      <w:pPr>
        <w:ind w:left="1020" w:hanging="360"/>
      </w:pPr>
    </w:lvl>
    <w:lvl w:ilvl="3" w:tplc="A01497EE">
      <w:start w:val="1"/>
      <w:numFmt w:val="lowerRoman"/>
      <w:lvlText w:val="%4)"/>
      <w:lvlJc w:val="right"/>
      <w:pPr>
        <w:ind w:left="1020" w:hanging="360"/>
      </w:pPr>
    </w:lvl>
    <w:lvl w:ilvl="4" w:tplc="EC3662F6">
      <w:start w:val="1"/>
      <w:numFmt w:val="lowerRoman"/>
      <w:lvlText w:val="%5)"/>
      <w:lvlJc w:val="right"/>
      <w:pPr>
        <w:ind w:left="1020" w:hanging="360"/>
      </w:pPr>
    </w:lvl>
    <w:lvl w:ilvl="5" w:tplc="0082DD76">
      <w:start w:val="1"/>
      <w:numFmt w:val="lowerRoman"/>
      <w:lvlText w:val="%6)"/>
      <w:lvlJc w:val="right"/>
      <w:pPr>
        <w:ind w:left="1020" w:hanging="360"/>
      </w:pPr>
    </w:lvl>
    <w:lvl w:ilvl="6" w:tplc="7BE47686">
      <w:start w:val="1"/>
      <w:numFmt w:val="lowerRoman"/>
      <w:lvlText w:val="%7)"/>
      <w:lvlJc w:val="right"/>
      <w:pPr>
        <w:ind w:left="1020" w:hanging="360"/>
      </w:pPr>
    </w:lvl>
    <w:lvl w:ilvl="7" w:tplc="781C649A">
      <w:start w:val="1"/>
      <w:numFmt w:val="lowerRoman"/>
      <w:lvlText w:val="%8)"/>
      <w:lvlJc w:val="right"/>
      <w:pPr>
        <w:ind w:left="1020" w:hanging="360"/>
      </w:pPr>
    </w:lvl>
    <w:lvl w:ilvl="8" w:tplc="C270F0A2">
      <w:start w:val="1"/>
      <w:numFmt w:val="lowerRoman"/>
      <w:lvlText w:val="%9)"/>
      <w:lvlJc w:val="right"/>
      <w:pPr>
        <w:ind w:left="1020" w:hanging="360"/>
      </w:pPr>
    </w:lvl>
  </w:abstractNum>
  <w:num w:numId="1" w16cid:durableId="984551917">
    <w:abstractNumId w:val="0"/>
  </w:num>
  <w:num w:numId="2" w16cid:durableId="497573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5CD"/>
    <w:rsid w:val="00016198"/>
    <w:rsid w:val="00030D4F"/>
    <w:rsid w:val="000329BB"/>
    <w:rsid w:val="00041466"/>
    <w:rsid w:val="00045E31"/>
    <w:rsid w:val="00060B4F"/>
    <w:rsid w:val="00065A58"/>
    <w:rsid w:val="00074CFD"/>
    <w:rsid w:val="00075980"/>
    <w:rsid w:val="00091EC1"/>
    <w:rsid w:val="00096D49"/>
    <w:rsid w:val="000A07E3"/>
    <w:rsid w:val="000A2122"/>
    <w:rsid w:val="000B302A"/>
    <w:rsid w:val="000B3DB0"/>
    <w:rsid w:val="000C0C21"/>
    <w:rsid w:val="000D68EC"/>
    <w:rsid w:val="000D7A61"/>
    <w:rsid w:val="000E4DFD"/>
    <w:rsid w:val="000F48DC"/>
    <w:rsid w:val="000F7E6D"/>
    <w:rsid w:val="00111F3F"/>
    <w:rsid w:val="0011219F"/>
    <w:rsid w:val="00112742"/>
    <w:rsid w:val="00112B6F"/>
    <w:rsid w:val="0013660D"/>
    <w:rsid w:val="00137BCB"/>
    <w:rsid w:val="00142351"/>
    <w:rsid w:val="00143AF5"/>
    <w:rsid w:val="001543FD"/>
    <w:rsid w:val="001611DD"/>
    <w:rsid w:val="00170E9D"/>
    <w:rsid w:val="00172569"/>
    <w:rsid w:val="001827DA"/>
    <w:rsid w:val="0018284C"/>
    <w:rsid w:val="00184599"/>
    <w:rsid w:val="001963E9"/>
    <w:rsid w:val="001B4CE8"/>
    <w:rsid w:val="001B6356"/>
    <w:rsid w:val="001C1BD7"/>
    <w:rsid w:val="001C4BB4"/>
    <w:rsid w:val="001E3E0F"/>
    <w:rsid w:val="001E3EC0"/>
    <w:rsid w:val="001F1900"/>
    <w:rsid w:val="001F392E"/>
    <w:rsid w:val="00221E0D"/>
    <w:rsid w:val="00224CC6"/>
    <w:rsid w:val="00232554"/>
    <w:rsid w:val="002424FC"/>
    <w:rsid w:val="00242578"/>
    <w:rsid w:val="00246F84"/>
    <w:rsid w:val="002477AA"/>
    <w:rsid w:val="002552AF"/>
    <w:rsid w:val="002558B0"/>
    <w:rsid w:val="00263171"/>
    <w:rsid w:val="00267A0A"/>
    <w:rsid w:val="00283164"/>
    <w:rsid w:val="00287789"/>
    <w:rsid w:val="00294389"/>
    <w:rsid w:val="002A56CE"/>
    <w:rsid w:val="002A5E36"/>
    <w:rsid w:val="002B0E56"/>
    <w:rsid w:val="002B5D0A"/>
    <w:rsid w:val="002B696B"/>
    <w:rsid w:val="002C4C0D"/>
    <w:rsid w:val="002D14E7"/>
    <w:rsid w:val="002F2DD6"/>
    <w:rsid w:val="00361638"/>
    <w:rsid w:val="003618C1"/>
    <w:rsid w:val="0037244A"/>
    <w:rsid w:val="00382636"/>
    <w:rsid w:val="00386CF4"/>
    <w:rsid w:val="003B5467"/>
    <w:rsid w:val="003C47D5"/>
    <w:rsid w:val="003D0B6C"/>
    <w:rsid w:val="003E4B30"/>
    <w:rsid w:val="00401FD7"/>
    <w:rsid w:val="00420C7D"/>
    <w:rsid w:val="004218E6"/>
    <w:rsid w:val="00423684"/>
    <w:rsid w:val="00425AEA"/>
    <w:rsid w:val="004409A7"/>
    <w:rsid w:val="0045766E"/>
    <w:rsid w:val="00474204"/>
    <w:rsid w:val="00474E65"/>
    <w:rsid w:val="00476FBF"/>
    <w:rsid w:val="0048726B"/>
    <w:rsid w:val="00493CC6"/>
    <w:rsid w:val="004969A7"/>
    <w:rsid w:val="00497AE4"/>
    <w:rsid w:val="004B29DD"/>
    <w:rsid w:val="004B7773"/>
    <w:rsid w:val="004C2342"/>
    <w:rsid w:val="004C3427"/>
    <w:rsid w:val="004C5E7F"/>
    <w:rsid w:val="004D3D30"/>
    <w:rsid w:val="004D7443"/>
    <w:rsid w:val="004E1937"/>
    <w:rsid w:val="004E3169"/>
    <w:rsid w:val="004E4575"/>
    <w:rsid w:val="00501D18"/>
    <w:rsid w:val="005122C3"/>
    <w:rsid w:val="005159B1"/>
    <w:rsid w:val="00531348"/>
    <w:rsid w:val="00532FD1"/>
    <w:rsid w:val="00533E6A"/>
    <w:rsid w:val="005345D8"/>
    <w:rsid w:val="00536246"/>
    <w:rsid w:val="0053689F"/>
    <w:rsid w:val="005432B5"/>
    <w:rsid w:val="0054634E"/>
    <w:rsid w:val="00551B23"/>
    <w:rsid w:val="00557404"/>
    <w:rsid w:val="00560CDA"/>
    <w:rsid w:val="00563C97"/>
    <w:rsid w:val="005706DB"/>
    <w:rsid w:val="00583C75"/>
    <w:rsid w:val="0058451E"/>
    <w:rsid w:val="00590023"/>
    <w:rsid w:val="00590123"/>
    <w:rsid w:val="005A2FFF"/>
    <w:rsid w:val="005C0EE5"/>
    <w:rsid w:val="005C1420"/>
    <w:rsid w:val="005C3DC7"/>
    <w:rsid w:val="005C5A5F"/>
    <w:rsid w:val="005C7F19"/>
    <w:rsid w:val="005D45ED"/>
    <w:rsid w:val="005F50E6"/>
    <w:rsid w:val="005F7527"/>
    <w:rsid w:val="00601B31"/>
    <w:rsid w:val="00615387"/>
    <w:rsid w:val="00621024"/>
    <w:rsid w:val="00642B85"/>
    <w:rsid w:val="006449F8"/>
    <w:rsid w:val="00651F8E"/>
    <w:rsid w:val="0065230A"/>
    <w:rsid w:val="00654883"/>
    <w:rsid w:val="00656F37"/>
    <w:rsid w:val="0066139F"/>
    <w:rsid w:val="00662F65"/>
    <w:rsid w:val="00672CEC"/>
    <w:rsid w:val="00682A8E"/>
    <w:rsid w:val="00683E29"/>
    <w:rsid w:val="00684390"/>
    <w:rsid w:val="00684592"/>
    <w:rsid w:val="00684F0B"/>
    <w:rsid w:val="00686A2F"/>
    <w:rsid w:val="006B5B67"/>
    <w:rsid w:val="006C1ECF"/>
    <w:rsid w:val="006D458D"/>
    <w:rsid w:val="006E1A24"/>
    <w:rsid w:val="006F4C04"/>
    <w:rsid w:val="007077E8"/>
    <w:rsid w:val="007175C3"/>
    <w:rsid w:val="007368BE"/>
    <w:rsid w:val="007442E3"/>
    <w:rsid w:val="0074432F"/>
    <w:rsid w:val="0074490E"/>
    <w:rsid w:val="00745E56"/>
    <w:rsid w:val="00747356"/>
    <w:rsid w:val="007530F4"/>
    <w:rsid w:val="00753EDA"/>
    <w:rsid w:val="00771412"/>
    <w:rsid w:val="0077223D"/>
    <w:rsid w:val="00781168"/>
    <w:rsid w:val="007825DD"/>
    <w:rsid w:val="00783545"/>
    <w:rsid w:val="007854F1"/>
    <w:rsid w:val="00786DDA"/>
    <w:rsid w:val="00792350"/>
    <w:rsid w:val="00794DD8"/>
    <w:rsid w:val="007B0F4F"/>
    <w:rsid w:val="007B3077"/>
    <w:rsid w:val="007B36EC"/>
    <w:rsid w:val="007C51EF"/>
    <w:rsid w:val="007C621F"/>
    <w:rsid w:val="007D2AEB"/>
    <w:rsid w:val="007D4E29"/>
    <w:rsid w:val="007E0CA4"/>
    <w:rsid w:val="007E1E37"/>
    <w:rsid w:val="007E7530"/>
    <w:rsid w:val="007F5A59"/>
    <w:rsid w:val="00835F2F"/>
    <w:rsid w:val="00841262"/>
    <w:rsid w:val="00842B5F"/>
    <w:rsid w:val="008446E4"/>
    <w:rsid w:val="00847DF7"/>
    <w:rsid w:val="00853390"/>
    <w:rsid w:val="0085778A"/>
    <w:rsid w:val="00863C30"/>
    <w:rsid w:val="00872A96"/>
    <w:rsid w:val="0088190C"/>
    <w:rsid w:val="00892BB0"/>
    <w:rsid w:val="00893877"/>
    <w:rsid w:val="008A5C3D"/>
    <w:rsid w:val="008A7662"/>
    <w:rsid w:val="008C05A5"/>
    <w:rsid w:val="008C50AC"/>
    <w:rsid w:val="008C657E"/>
    <w:rsid w:val="008C77DA"/>
    <w:rsid w:val="008E019F"/>
    <w:rsid w:val="008F349E"/>
    <w:rsid w:val="008F4055"/>
    <w:rsid w:val="00903FC7"/>
    <w:rsid w:val="00904F14"/>
    <w:rsid w:val="00917DF9"/>
    <w:rsid w:val="009208EE"/>
    <w:rsid w:val="00920E74"/>
    <w:rsid w:val="00921C71"/>
    <w:rsid w:val="00943C0B"/>
    <w:rsid w:val="00947EE3"/>
    <w:rsid w:val="00952D65"/>
    <w:rsid w:val="009575FA"/>
    <w:rsid w:val="009776B8"/>
    <w:rsid w:val="0099045B"/>
    <w:rsid w:val="009A00C8"/>
    <w:rsid w:val="009C3344"/>
    <w:rsid w:val="009C4B59"/>
    <w:rsid w:val="009C6F50"/>
    <w:rsid w:val="009D1AA6"/>
    <w:rsid w:val="009E0F8F"/>
    <w:rsid w:val="009E66EA"/>
    <w:rsid w:val="009E6820"/>
    <w:rsid w:val="009F1F70"/>
    <w:rsid w:val="009F3FF7"/>
    <w:rsid w:val="00A14762"/>
    <w:rsid w:val="00A2105A"/>
    <w:rsid w:val="00A21756"/>
    <w:rsid w:val="00A33847"/>
    <w:rsid w:val="00A34ED1"/>
    <w:rsid w:val="00A35A1E"/>
    <w:rsid w:val="00A5068A"/>
    <w:rsid w:val="00A512EE"/>
    <w:rsid w:val="00A55B16"/>
    <w:rsid w:val="00A61722"/>
    <w:rsid w:val="00A6559E"/>
    <w:rsid w:val="00A80875"/>
    <w:rsid w:val="00A81F8D"/>
    <w:rsid w:val="00A831D1"/>
    <w:rsid w:val="00A84B5F"/>
    <w:rsid w:val="00A84BCC"/>
    <w:rsid w:val="00A926E2"/>
    <w:rsid w:val="00A9327C"/>
    <w:rsid w:val="00A975DB"/>
    <w:rsid w:val="00AA3CAA"/>
    <w:rsid w:val="00AA7F4B"/>
    <w:rsid w:val="00AB2F6F"/>
    <w:rsid w:val="00AC13C1"/>
    <w:rsid w:val="00AC3A99"/>
    <w:rsid w:val="00AC3B7B"/>
    <w:rsid w:val="00AC7A97"/>
    <w:rsid w:val="00AD0221"/>
    <w:rsid w:val="00AF1F0D"/>
    <w:rsid w:val="00AF3301"/>
    <w:rsid w:val="00AF5C53"/>
    <w:rsid w:val="00AF7F83"/>
    <w:rsid w:val="00B37580"/>
    <w:rsid w:val="00B409CA"/>
    <w:rsid w:val="00B447DC"/>
    <w:rsid w:val="00B4686D"/>
    <w:rsid w:val="00B52704"/>
    <w:rsid w:val="00B54C52"/>
    <w:rsid w:val="00B57D3E"/>
    <w:rsid w:val="00B73C5E"/>
    <w:rsid w:val="00B76531"/>
    <w:rsid w:val="00B80DC3"/>
    <w:rsid w:val="00B84063"/>
    <w:rsid w:val="00B860CD"/>
    <w:rsid w:val="00B86508"/>
    <w:rsid w:val="00B86BB6"/>
    <w:rsid w:val="00BA08F1"/>
    <w:rsid w:val="00BB5140"/>
    <w:rsid w:val="00BB5252"/>
    <w:rsid w:val="00BC15CD"/>
    <w:rsid w:val="00BD5748"/>
    <w:rsid w:val="00BE4877"/>
    <w:rsid w:val="00BF7048"/>
    <w:rsid w:val="00C06601"/>
    <w:rsid w:val="00C1207E"/>
    <w:rsid w:val="00C12D54"/>
    <w:rsid w:val="00C204C9"/>
    <w:rsid w:val="00C20EFC"/>
    <w:rsid w:val="00C22FC5"/>
    <w:rsid w:val="00C26FF0"/>
    <w:rsid w:val="00C43FD5"/>
    <w:rsid w:val="00C441B0"/>
    <w:rsid w:val="00C529A5"/>
    <w:rsid w:val="00C575CE"/>
    <w:rsid w:val="00C86838"/>
    <w:rsid w:val="00C9472C"/>
    <w:rsid w:val="00C95482"/>
    <w:rsid w:val="00CA0777"/>
    <w:rsid w:val="00CA5401"/>
    <w:rsid w:val="00CB4818"/>
    <w:rsid w:val="00CD5C6E"/>
    <w:rsid w:val="00CE4C8B"/>
    <w:rsid w:val="00CF3A98"/>
    <w:rsid w:val="00D0012A"/>
    <w:rsid w:val="00D16807"/>
    <w:rsid w:val="00D3377C"/>
    <w:rsid w:val="00D45785"/>
    <w:rsid w:val="00D46B21"/>
    <w:rsid w:val="00D52D1E"/>
    <w:rsid w:val="00D5452E"/>
    <w:rsid w:val="00D55325"/>
    <w:rsid w:val="00D563E9"/>
    <w:rsid w:val="00D672D7"/>
    <w:rsid w:val="00D96059"/>
    <w:rsid w:val="00DA4832"/>
    <w:rsid w:val="00DD5127"/>
    <w:rsid w:val="00DD54D1"/>
    <w:rsid w:val="00DE0287"/>
    <w:rsid w:val="00E01613"/>
    <w:rsid w:val="00E05A0C"/>
    <w:rsid w:val="00E121F9"/>
    <w:rsid w:val="00E13DC3"/>
    <w:rsid w:val="00E15897"/>
    <w:rsid w:val="00E20C69"/>
    <w:rsid w:val="00E35EAB"/>
    <w:rsid w:val="00E40465"/>
    <w:rsid w:val="00E505C9"/>
    <w:rsid w:val="00E55C53"/>
    <w:rsid w:val="00E56161"/>
    <w:rsid w:val="00E71365"/>
    <w:rsid w:val="00E7354A"/>
    <w:rsid w:val="00E958BE"/>
    <w:rsid w:val="00EA387C"/>
    <w:rsid w:val="00EA605F"/>
    <w:rsid w:val="00EA7116"/>
    <w:rsid w:val="00EC6BA0"/>
    <w:rsid w:val="00ED1617"/>
    <w:rsid w:val="00EF6C3A"/>
    <w:rsid w:val="00F008F7"/>
    <w:rsid w:val="00F016C9"/>
    <w:rsid w:val="00F03B82"/>
    <w:rsid w:val="00F072F5"/>
    <w:rsid w:val="00F173F0"/>
    <w:rsid w:val="00F17E0E"/>
    <w:rsid w:val="00F23517"/>
    <w:rsid w:val="00F262F3"/>
    <w:rsid w:val="00F310FF"/>
    <w:rsid w:val="00F438BD"/>
    <w:rsid w:val="00F43D60"/>
    <w:rsid w:val="00F45348"/>
    <w:rsid w:val="00F47D2D"/>
    <w:rsid w:val="00F510DD"/>
    <w:rsid w:val="00F547D9"/>
    <w:rsid w:val="00F60ECE"/>
    <w:rsid w:val="00F75ADB"/>
    <w:rsid w:val="00F75FE3"/>
    <w:rsid w:val="00F801BC"/>
    <w:rsid w:val="00F826AA"/>
    <w:rsid w:val="00F86808"/>
    <w:rsid w:val="00F942E3"/>
    <w:rsid w:val="00F96EBD"/>
    <w:rsid w:val="00FA7992"/>
    <w:rsid w:val="00FB0624"/>
    <w:rsid w:val="00FB20E6"/>
    <w:rsid w:val="00FB38D5"/>
    <w:rsid w:val="00FC102B"/>
    <w:rsid w:val="00FC4EF1"/>
    <w:rsid w:val="00FD24FD"/>
    <w:rsid w:val="00FD4782"/>
    <w:rsid w:val="00FD490C"/>
    <w:rsid w:val="00FE13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92BF2"/>
  <w15:docId w15:val="{E59B165A-C759-43C1-B504-B41D35BE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02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BC15C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D56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3E9"/>
    <w:rPr>
      <w:lang w:val="en-US"/>
    </w:rPr>
  </w:style>
  <w:style w:type="character" w:styleId="CommentReference">
    <w:name w:val="annotation reference"/>
    <w:basedOn w:val="DefaultParagraphFont"/>
    <w:uiPriority w:val="99"/>
    <w:semiHidden/>
    <w:unhideWhenUsed/>
    <w:rsid w:val="00224CC6"/>
    <w:rPr>
      <w:sz w:val="16"/>
      <w:szCs w:val="16"/>
    </w:rPr>
  </w:style>
  <w:style w:type="paragraph" w:styleId="CommentText">
    <w:name w:val="annotation text"/>
    <w:basedOn w:val="Normal"/>
    <w:link w:val="CommentTextChar"/>
    <w:uiPriority w:val="99"/>
    <w:unhideWhenUsed/>
    <w:rsid w:val="00224CC6"/>
    <w:pPr>
      <w:spacing w:line="240" w:lineRule="auto"/>
    </w:pPr>
    <w:rPr>
      <w:sz w:val="20"/>
      <w:szCs w:val="20"/>
    </w:rPr>
  </w:style>
  <w:style w:type="character" w:customStyle="1" w:styleId="CommentTextChar">
    <w:name w:val="Comment Text Char"/>
    <w:basedOn w:val="DefaultParagraphFont"/>
    <w:link w:val="CommentText"/>
    <w:uiPriority w:val="99"/>
    <w:rsid w:val="00224CC6"/>
    <w:rPr>
      <w:sz w:val="20"/>
      <w:szCs w:val="20"/>
      <w:lang w:val="en-US"/>
    </w:rPr>
  </w:style>
  <w:style w:type="paragraph" w:styleId="CommentSubject">
    <w:name w:val="annotation subject"/>
    <w:basedOn w:val="CommentText"/>
    <w:next w:val="CommentText"/>
    <w:link w:val="CommentSubjectChar"/>
    <w:uiPriority w:val="99"/>
    <w:semiHidden/>
    <w:unhideWhenUsed/>
    <w:rsid w:val="00224CC6"/>
    <w:rPr>
      <w:b/>
      <w:bCs/>
    </w:rPr>
  </w:style>
  <w:style w:type="character" w:customStyle="1" w:styleId="CommentSubjectChar">
    <w:name w:val="Comment Subject Char"/>
    <w:basedOn w:val="CommentTextChar"/>
    <w:link w:val="CommentSubject"/>
    <w:uiPriority w:val="99"/>
    <w:semiHidden/>
    <w:rsid w:val="00224CC6"/>
    <w:rPr>
      <w:b/>
      <w:bCs/>
      <w:sz w:val="20"/>
      <w:szCs w:val="20"/>
      <w:lang w:val="en-US"/>
    </w:rPr>
  </w:style>
  <w:style w:type="paragraph" w:styleId="Revision">
    <w:name w:val="Revision"/>
    <w:hidden/>
    <w:uiPriority w:val="99"/>
    <w:semiHidden/>
    <w:rsid w:val="00420C7D"/>
    <w:pPr>
      <w:spacing w:after="0" w:line="240" w:lineRule="auto"/>
    </w:pPr>
    <w:rPr>
      <w:lang w:val="en-US"/>
    </w:rPr>
  </w:style>
  <w:style w:type="paragraph" w:styleId="Footer">
    <w:name w:val="footer"/>
    <w:basedOn w:val="Normal"/>
    <w:link w:val="FooterChar"/>
    <w:uiPriority w:val="99"/>
    <w:unhideWhenUsed/>
    <w:rsid w:val="00B86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0CD"/>
    <w:rPr>
      <w:lang w:val="en-US"/>
    </w:rPr>
  </w:style>
  <w:style w:type="paragraph" w:styleId="BalloonText">
    <w:name w:val="Balloon Text"/>
    <w:basedOn w:val="Normal"/>
    <w:link w:val="BalloonTextChar"/>
    <w:uiPriority w:val="99"/>
    <w:semiHidden/>
    <w:unhideWhenUsed/>
    <w:rsid w:val="00C441B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41B0"/>
    <w:rPr>
      <w:rFonts w:ascii="Times New Roman" w:hAnsi="Times New Roman" w:cs="Times New Roman"/>
      <w:sz w:val="18"/>
      <w:szCs w:val="18"/>
      <w:lang w:val="en-US"/>
    </w:rPr>
  </w:style>
  <w:style w:type="paragraph" w:styleId="FootnoteText">
    <w:name w:val="footnote text"/>
    <w:basedOn w:val="Normal"/>
    <w:link w:val="FootnoteTextChar"/>
    <w:uiPriority w:val="99"/>
    <w:semiHidden/>
    <w:unhideWhenUsed/>
    <w:rsid w:val="00A975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75DB"/>
    <w:rPr>
      <w:sz w:val="20"/>
      <w:szCs w:val="20"/>
      <w:lang w:val="en-US"/>
    </w:rPr>
  </w:style>
  <w:style w:type="character" w:styleId="FootnoteReference">
    <w:name w:val="footnote reference"/>
    <w:basedOn w:val="DefaultParagraphFont"/>
    <w:uiPriority w:val="99"/>
    <w:semiHidden/>
    <w:unhideWhenUsed/>
    <w:rsid w:val="00A975DB"/>
    <w:rPr>
      <w:vertAlign w:val="superscript"/>
    </w:rPr>
  </w:style>
  <w:style w:type="paragraph" w:styleId="ListParagraph">
    <w:name w:val="List Paragraph"/>
    <w:basedOn w:val="Normal"/>
    <w:uiPriority w:val="34"/>
    <w:qFormat/>
    <w:rsid w:val="00AC3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0552">
      <w:bodyDiv w:val="1"/>
      <w:marLeft w:val="0"/>
      <w:marRight w:val="0"/>
      <w:marTop w:val="0"/>
      <w:marBottom w:val="0"/>
      <w:divBdr>
        <w:top w:val="none" w:sz="0" w:space="0" w:color="auto"/>
        <w:left w:val="none" w:sz="0" w:space="0" w:color="auto"/>
        <w:bottom w:val="none" w:sz="0" w:space="0" w:color="auto"/>
        <w:right w:val="none" w:sz="0" w:space="0" w:color="auto"/>
      </w:divBdr>
    </w:div>
    <w:div w:id="106238592">
      <w:bodyDiv w:val="1"/>
      <w:marLeft w:val="0"/>
      <w:marRight w:val="0"/>
      <w:marTop w:val="0"/>
      <w:marBottom w:val="0"/>
      <w:divBdr>
        <w:top w:val="none" w:sz="0" w:space="0" w:color="auto"/>
        <w:left w:val="none" w:sz="0" w:space="0" w:color="auto"/>
        <w:bottom w:val="none" w:sz="0" w:space="0" w:color="auto"/>
        <w:right w:val="none" w:sz="0" w:space="0" w:color="auto"/>
      </w:divBdr>
    </w:div>
    <w:div w:id="259333014">
      <w:bodyDiv w:val="1"/>
      <w:marLeft w:val="0"/>
      <w:marRight w:val="0"/>
      <w:marTop w:val="0"/>
      <w:marBottom w:val="0"/>
      <w:divBdr>
        <w:top w:val="none" w:sz="0" w:space="0" w:color="auto"/>
        <w:left w:val="none" w:sz="0" w:space="0" w:color="auto"/>
        <w:bottom w:val="none" w:sz="0" w:space="0" w:color="auto"/>
        <w:right w:val="none" w:sz="0" w:space="0" w:color="auto"/>
      </w:divBdr>
    </w:div>
    <w:div w:id="272136338">
      <w:bodyDiv w:val="1"/>
      <w:marLeft w:val="0"/>
      <w:marRight w:val="0"/>
      <w:marTop w:val="0"/>
      <w:marBottom w:val="0"/>
      <w:divBdr>
        <w:top w:val="none" w:sz="0" w:space="0" w:color="auto"/>
        <w:left w:val="none" w:sz="0" w:space="0" w:color="auto"/>
        <w:bottom w:val="none" w:sz="0" w:space="0" w:color="auto"/>
        <w:right w:val="none" w:sz="0" w:space="0" w:color="auto"/>
      </w:divBdr>
    </w:div>
    <w:div w:id="499738120">
      <w:bodyDiv w:val="1"/>
      <w:marLeft w:val="0"/>
      <w:marRight w:val="0"/>
      <w:marTop w:val="0"/>
      <w:marBottom w:val="0"/>
      <w:divBdr>
        <w:top w:val="none" w:sz="0" w:space="0" w:color="auto"/>
        <w:left w:val="none" w:sz="0" w:space="0" w:color="auto"/>
        <w:bottom w:val="none" w:sz="0" w:space="0" w:color="auto"/>
        <w:right w:val="none" w:sz="0" w:space="0" w:color="auto"/>
      </w:divBdr>
    </w:div>
    <w:div w:id="1305161604">
      <w:bodyDiv w:val="1"/>
      <w:marLeft w:val="0"/>
      <w:marRight w:val="0"/>
      <w:marTop w:val="0"/>
      <w:marBottom w:val="0"/>
      <w:divBdr>
        <w:top w:val="none" w:sz="0" w:space="0" w:color="auto"/>
        <w:left w:val="none" w:sz="0" w:space="0" w:color="auto"/>
        <w:bottom w:val="none" w:sz="0" w:space="0" w:color="auto"/>
        <w:right w:val="none" w:sz="0" w:space="0" w:color="auto"/>
      </w:divBdr>
    </w:div>
    <w:div w:id="1396396883">
      <w:bodyDiv w:val="1"/>
      <w:marLeft w:val="0"/>
      <w:marRight w:val="0"/>
      <w:marTop w:val="0"/>
      <w:marBottom w:val="0"/>
      <w:divBdr>
        <w:top w:val="none" w:sz="0" w:space="0" w:color="auto"/>
        <w:left w:val="none" w:sz="0" w:space="0" w:color="auto"/>
        <w:bottom w:val="none" w:sz="0" w:space="0" w:color="auto"/>
        <w:right w:val="none" w:sz="0" w:space="0" w:color="auto"/>
      </w:divBdr>
    </w:div>
    <w:div w:id="1578174474">
      <w:bodyDiv w:val="1"/>
      <w:marLeft w:val="0"/>
      <w:marRight w:val="0"/>
      <w:marTop w:val="0"/>
      <w:marBottom w:val="0"/>
      <w:divBdr>
        <w:top w:val="none" w:sz="0" w:space="0" w:color="auto"/>
        <w:left w:val="none" w:sz="0" w:space="0" w:color="auto"/>
        <w:bottom w:val="none" w:sz="0" w:space="0" w:color="auto"/>
        <w:right w:val="none" w:sz="0" w:space="0" w:color="auto"/>
      </w:divBdr>
    </w:div>
    <w:div w:id="1861819795">
      <w:bodyDiv w:val="1"/>
      <w:marLeft w:val="0"/>
      <w:marRight w:val="0"/>
      <w:marTop w:val="0"/>
      <w:marBottom w:val="0"/>
      <w:divBdr>
        <w:top w:val="none" w:sz="0" w:space="0" w:color="auto"/>
        <w:left w:val="none" w:sz="0" w:space="0" w:color="auto"/>
        <w:bottom w:val="none" w:sz="0" w:space="0" w:color="auto"/>
        <w:right w:val="none" w:sz="0" w:space="0" w:color="auto"/>
      </w:divBdr>
    </w:div>
    <w:div w:id="1931424450">
      <w:bodyDiv w:val="1"/>
      <w:marLeft w:val="0"/>
      <w:marRight w:val="0"/>
      <w:marTop w:val="0"/>
      <w:marBottom w:val="0"/>
      <w:divBdr>
        <w:top w:val="none" w:sz="0" w:space="0" w:color="auto"/>
        <w:left w:val="none" w:sz="0" w:space="0" w:color="auto"/>
        <w:bottom w:val="none" w:sz="0" w:space="0" w:color="auto"/>
        <w:right w:val="none" w:sz="0" w:space="0" w:color="auto"/>
      </w:divBdr>
    </w:div>
    <w:div w:id="2071033629">
      <w:bodyDiv w:val="1"/>
      <w:marLeft w:val="0"/>
      <w:marRight w:val="0"/>
      <w:marTop w:val="0"/>
      <w:marBottom w:val="0"/>
      <w:divBdr>
        <w:top w:val="none" w:sz="0" w:space="0" w:color="auto"/>
        <w:left w:val="none" w:sz="0" w:space="0" w:color="auto"/>
        <w:bottom w:val="none" w:sz="0" w:space="0" w:color="auto"/>
        <w:right w:val="none" w:sz="0" w:space="0" w:color="auto"/>
      </w:divBdr>
    </w:div>
    <w:div w:id="2103986769">
      <w:bodyDiv w:val="1"/>
      <w:marLeft w:val="0"/>
      <w:marRight w:val="0"/>
      <w:marTop w:val="0"/>
      <w:marBottom w:val="0"/>
      <w:divBdr>
        <w:top w:val="none" w:sz="0" w:space="0" w:color="auto"/>
        <w:left w:val="none" w:sz="0" w:space="0" w:color="auto"/>
        <w:bottom w:val="none" w:sz="0" w:space="0" w:color="auto"/>
        <w:right w:val="none" w:sz="0" w:space="0" w:color="auto"/>
      </w:divBdr>
    </w:div>
    <w:div w:id="211551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15922-6CF9-BE45-BC1B-C1C3C1DD3EAF}">
  <ds:schemaRefs>
    <ds:schemaRef ds:uri="http://schemas.openxmlformats.org/officeDocument/2006/bibliography"/>
  </ds:schemaRefs>
</ds:datastoreItem>
</file>

<file path=docMetadata/LabelInfo.xml><?xml version="1.0" encoding="utf-8"?>
<clbl:labelList xmlns:clbl="http://schemas.microsoft.com/office/2020/mipLabelMetadata">
  <clbl:label id="{da0e285e-1842-4884-832f-885dd424d91e}" enabled="1" method="Standard" siteId="{3f478d65-1b9b-4caa-a123-7430e9bf86b3}"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dc:creator>
  <cp:lastModifiedBy>Uthman, Opeyemi</cp:lastModifiedBy>
  <cp:revision>2</cp:revision>
  <cp:lastPrinted>2023-10-29T18:27:00Z</cp:lastPrinted>
  <dcterms:created xsi:type="dcterms:W3CDTF">2026-07-03T12:11:00Z</dcterms:created>
  <dcterms:modified xsi:type="dcterms:W3CDTF">2026-07-03T12:11:00Z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#000000,14,Calibri</vt:lpwstr>
  </property>
  <property fmtid="{D5CDD505-2E9C-101B-9397-08002B2CF9AE}" pid="4" name="ClassificationContentMarkingHeaderText">
    <vt:lpwstr>[ICC] RESTRICTED</vt:lpwstr>
  </property>
</Properties>
</file>